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宋体" w:eastAsia="方正小标宋简体"/>
          <w:b/>
          <w:color w:val="000000" w:themeColor="text1"/>
          <w:sz w:val="44"/>
          <w:szCs w:val="44"/>
          <w14:textFill>
            <w14:solidFill>
              <w14:schemeClr w14:val="tx1"/>
            </w14:solidFill>
          </w14:textFill>
        </w:rPr>
      </w:pPr>
    </w:p>
    <w:p>
      <w:pPr>
        <w:spacing w:line="600" w:lineRule="exact"/>
        <w:rPr>
          <w:rFonts w:asciiTheme="minorEastAsia" w:hAnsiTheme="minorEastAsia" w:eastAsiaTheme="minorEastAsia"/>
          <w:color w:val="000000" w:themeColor="text1"/>
          <w:spacing w:val="-34"/>
          <w:sz w:val="32"/>
          <w:szCs w:val="32"/>
          <w14:textFill>
            <w14:solidFill>
              <w14:schemeClr w14:val="tx1"/>
            </w14:solidFill>
          </w14:textFill>
        </w:rPr>
      </w:pPr>
      <w:r>
        <w:rPr>
          <w:rFonts w:hint="eastAsia" w:cs="宋体" w:asciiTheme="minorEastAsia" w:hAnsiTheme="minorEastAsia" w:eastAsiaTheme="minorEastAsia"/>
          <w:color w:val="000000" w:themeColor="text1"/>
          <w:kern w:val="0"/>
          <w:sz w:val="32"/>
          <w:szCs w:val="32"/>
          <w14:textFill>
            <w14:solidFill>
              <w14:schemeClr w14:val="tx1"/>
            </w14:solidFill>
          </w14:textFill>
        </w:rPr>
        <w:t>投诉解决率98.58%</w:t>
      </w:r>
      <w:r>
        <w:rPr>
          <w:rFonts w:hint="eastAsia" w:asciiTheme="minorEastAsia" w:hAnsiTheme="minorEastAsia" w:eastAsiaTheme="minorEastAsia"/>
          <w:color w:val="000000" w:themeColor="text1"/>
          <w:spacing w:val="-34"/>
          <w:sz w:val="32"/>
          <w:szCs w:val="32"/>
          <w14:textFill>
            <w14:solidFill>
              <w14:schemeClr w14:val="tx1"/>
            </w14:solidFill>
          </w14:textFill>
        </w:rPr>
        <w:t xml:space="preserve"> </w:t>
      </w:r>
      <w:r>
        <w:rPr>
          <w:rFonts w:asciiTheme="minorEastAsia" w:hAnsiTheme="minorEastAsia" w:eastAsiaTheme="minorEastAsia"/>
          <w:color w:val="000000" w:themeColor="text1"/>
          <w:spacing w:val="-34"/>
          <w:sz w:val="32"/>
          <w:szCs w:val="32"/>
          <w14:textFill>
            <w14:solidFill>
              <w14:schemeClr w14:val="tx1"/>
            </w14:solidFill>
          </w14:textFill>
        </w:rPr>
        <w:t xml:space="preserve"> </w:t>
      </w:r>
      <w:r>
        <w:rPr>
          <w:rFonts w:hint="eastAsia" w:cs="宋体" w:asciiTheme="minorEastAsia" w:hAnsiTheme="minorEastAsia" w:eastAsiaTheme="minorEastAsia"/>
          <w:color w:val="000000"/>
          <w:kern w:val="0"/>
          <w:sz w:val="32"/>
          <w:szCs w:val="32"/>
        </w:rPr>
        <w:t>四川公布第三季度消费者投诉信息统计分析</w:t>
      </w:r>
    </w:p>
    <w:p>
      <w:pPr>
        <w:widowControl/>
        <w:spacing w:line="600" w:lineRule="exact"/>
        <w:rPr>
          <w:rFonts w:ascii="方正仿宋简体" w:hAnsi="仿宋" w:eastAsia="方正仿宋简体" w:cs="宋体"/>
          <w:color w:val="000000" w:themeColor="text1"/>
          <w:kern w:val="0"/>
          <w:sz w:val="32"/>
          <w:szCs w:val="32"/>
          <w14:textFill>
            <w14:solidFill>
              <w14:schemeClr w14:val="tx1"/>
            </w14:solidFill>
          </w14:textFill>
        </w:rPr>
      </w:pPr>
    </w:p>
    <w:p>
      <w:pPr>
        <w:widowControl/>
        <w:spacing w:line="600" w:lineRule="exact"/>
        <w:ind w:firstLine="560" w:firstLineChars="20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2023年第三季度，四川省各级保护消费者权益委员会共受理消费者投诉18495件；解决18233件，投诉解决率98.58%；为消费者挽回经济损失649.46万元，其中因经营者有欺诈行为消费者获得加倍赔偿金额7.05万元。全省各级消委组织接待来访、接受消费者咨询共计1.93万人次。</w:t>
      </w:r>
    </w:p>
    <w:p>
      <w:pPr>
        <w:pStyle w:val="24"/>
        <w:widowControl/>
        <w:numPr>
          <w:ilvl w:val="0"/>
          <w:numId w:val="1"/>
        </w:numPr>
        <w:spacing w:line="600" w:lineRule="exact"/>
        <w:ind w:firstLineChars="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投诉基本情况</w:t>
      </w:r>
    </w:p>
    <w:p>
      <w:pPr>
        <w:spacing w:line="600" w:lineRule="exact"/>
        <w:ind w:firstLine="551" w:firstLineChars="196"/>
        <w:rPr>
          <w:rFonts w:cs="宋体" w:asciiTheme="minorEastAsia" w:hAnsiTheme="minorEastAsia" w:eastAsiaTheme="minorEastAsia"/>
          <w:b/>
          <w:color w:val="000000" w:themeColor="text1"/>
          <w:kern w:val="0"/>
          <w:sz w:val="28"/>
          <w:szCs w:val="28"/>
          <w14:textFill>
            <w14:solidFill>
              <w14:schemeClr w14:val="tx1"/>
            </w14:solidFill>
          </w14:textFill>
        </w:rPr>
      </w:pPr>
      <w:r>
        <w:rPr>
          <w:rFonts w:hint="eastAsia" w:cs="宋体" w:asciiTheme="minorEastAsia" w:hAnsiTheme="minorEastAsia" w:eastAsiaTheme="minorEastAsia"/>
          <w:b/>
          <w:color w:val="000000" w:themeColor="text1"/>
          <w:kern w:val="0"/>
          <w:sz w:val="28"/>
          <w:szCs w:val="28"/>
          <w14:textFill>
            <w14:solidFill>
              <w14:schemeClr w14:val="tx1"/>
            </w14:solidFill>
          </w14:textFill>
        </w:rPr>
        <w:t>（一）投诉性质类分析</w:t>
      </w:r>
    </w:p>
    <w:p>
      <w:pPr>
        <w:widowControl/>
        <w:spacing w:line="600" w:lineRule="exact"/>
        <w:ind w:firstLine="560" w:firstLineChars="20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在2023年第三季度的消费者投诉案件中，按投诉性质划分：涉及质量问题方面的投诉案件6106件，占总量的33.01%；售后服务问题3605件，占19.49%；合同问题2296件，占12.41%；价格问题2074件，占11.21%；安全问题1373件，占7.42%；虚假宣传问题1312件，占7.09%；计量问题443件，占2.40%；假冒问题211件，占1.14%；人格尊严问题80件，占0.43%；其他问题（涉及多项投诉性质或难以归类的投诉问题）995件，</w:t>
      </w:r>
    </w:p>
    <w:p>
      <w:pPr>
        <w:widowControl/>
        <w:spacing w:line="600" w:lineRule="exac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占5.38%。</w:t>
      </w:r>
    </w:p>
    <w:p>
      <w:pPr>
        <w:widowControl/>
        <w:spacing w:line="600" w:lineRule="exact"/>
        <w:ind w:firstLine="560" w:firstLineChars="200"/>
        <w:jc w:val="center"/>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图1：投诉性质比例图（%）</w:t>
      </w:r>
      <w:r>
        <w:rPr>
          <w:rFonts w:hint="eastAsia" w:cs="宋体" w:asciiTheme="minorEastAsia" w:hAnsiTheme="minorEastAsia" w:eastAsiaTheme="minorEastAsia"/>
          <w:color w:val="000000" w:themeColor="text1"/>
          <w:kern w:val="0"/>
          <w:sz w:val="28"/>
          <w:szCs w:val="28"/>
          <w14:textFill>
            <w14:solidFill>
              <w14:schemeClr w14:val="tx1"/>
            </w14:solidFill>
          </w14:textFill>
        </w:rPr>
        <w:drawing>
          <wp:anchor distT="0" distB="0" distL="114300" distR="114300" simplePos="0" relativeHeight="251660288" behindDoc="0" locked="0" layoutInCell="1" allowOverlap="1">
            <wp:simplePos x="0" y="0"/>
            <wp:positionH relativeFrom="margin">
              <wp:posOffset>75565</wp:posOffset>
            </wp:positionH>
            <wp:positionV relativeFrom="margin">
              <wp:posOffset>523875</wp:posOffset>
            </wp:positionV>
            <wp:extent cx="5295900" cy="3695700"/>
            <wp:effectExtent l="0" t="0" r="19050" b="19050"/>
            <wp:wrapSquare wrapText="bothSides"/>
            <wp:docPr id="1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pacing w:line="600" w:lineRule="exact"/>
        <w:ind w:firstLine="560" w:firstLineChars="20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从统计数据来看，涉及质量、售后服务、合同方面的投诉位居消费者投诉性质分类的前三名，商品和服务的质量问题仍居投诉总量之首，成为消费者投诉的主要方面，但同期环比质量问题的投诉量在下降，同时商品假冒方面的投诉下降幅度也最为明显。从投诉性质来看，售后服务和价格的投诉比例上升幅度较大（见表1），说明消费者对服务的体验感和价格的公开合理更为关注。</w:t>
      </w:r>
    </w:p>
    <w:p>
      <w:pPr>
        <w:widowControl/>
        <w:spacing w:line="600" w:lineRule="exact"/>
        <w:ind w:firstLine="560" w:firstLineChars="200"/>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表1 投诉问题性质分类占比变化情况表</w:t>
      </w:r>
    </w:p>
    <w:tbl>
      <w:tblPr>
        <w:tblStyle w:val="16"/>
        <w:tblW w:w="932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9"/>
        <w:gridCol w:w="2846"/>
        <w:gridCol w:w="2846"/>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投诉</w:t>
            </w:r>
          </w:p>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类别</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2022年第三季度投诉量占投诉总量的比重（%）</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2023年第三季度投诉量占投诉总量的比重（%）</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比较结果</w:t>
            </w:r>
          </w:p>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售后服务</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15.99</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19.49</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价格</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9.68</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11.21</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虚假宣传</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6.26</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7.09</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计量</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2.92</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2.40</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人格尊严</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1.08</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0.43</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安全</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8.13</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7.42</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质量</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34.45</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33.01</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合同</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13.89</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12.41</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假冒</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3.27</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1.14</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11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其他</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4.34</w:t>
            </w:r>
          </w:p>
        </w:tc>
        <w:tc>
          <w:tcPr>
            <w:tcW w:w="284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5.38</w:t>
            </w:r>
          </w:p>
        </w:tc>
        <w:tc>
          <w:tcPr>
            <w:tcW w:w="1518"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↑1.04</w:t>
            </w:r>
          </w:p>
        </w:tc>
      </w:tr>
    </w:tbl>
    <w:p>
      <w:pPr>
        <w:spacing w:line="600" w:lineRule="exact"/>
        <w:rPr>
          <w:rFonts w:cs="宋体" w:asciiTheme="minorEastAsia" w:hAnsiTheme="minorEastAsia" w:eastAsiaTheme="minorEastAsia"/>
          <w:b/>
          <w:color w:val="000000" w:themeColor="text1"/>
          <w:kern w:val="0"/>
          <w:sz w:val="28"/>
          <w:szCs w:val="28"/>
          <w14:textFill>
            <w14:solidFill>
              <w14:schemeClr w14:val="tx1"/>
            </w14:solidFill>
          </w14:textFill>
        </w:rPr>
      </w:pPr>
      <w:r>
        <w:rPr>
          <w:rFonts w:hint="eastAsia" w:cs="宋体" w:asciiTheme="minorEastAsia" w:hAnsiTheme="minorEastAsia" w:eastAsiaTheme="minorEastAsia"/>
          <w:b/>
          <w:color w:val="000000" w:themeColor="text1"/>
          <w:kern w:val="0"/>
          <w:sz w:val="28"/>
          <w:szCs w:val="28"/>
          <w14:textFill>
            <w14:solidFill>
              <w14:schemeClr w14:val="tx1"/>
            </w14:solidFill>
          </w14:textFill>
        </w:rPr>
        <w:t>（二）商品类投诉分析</w:t>
      </w:r>
    </w:p>
    <w:p>
      <w:pPr>
        <w:spacing w:line="600" w:lineRule="exact"/>
        <w:ind w:firstLine="560" w:firstLineChars="200"/>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在2023年第三季度的消费者投诉案件中，根据投诉商品种类分析，涉及食品类、家用电子电器类和服装鞋帽类占据了消费者投诉的前三位（见图2）。</w:t>
      </w:r>
      <w:r>
        <w:rPr>
          <w:rFonts w:hint="eastAsia" w:cs="仿宋" w:asciiTheme="minorEastAsia" w:hAnsiTheme="minorEastAsia" w:eastAsiaTheme="minorEastAsia"/>
          <w:color w:val="000000" w:themeColor="text1"/>
          <w:kern w:val="0"/>
          <w:sz w:val="28"/>
          <w:szCs w:val="28"/>
          <w14:textFill>
            <w14:solidFill>
              <w14:schemeClr w14:val="tx1"/>
            </w14:solidFill>
          </w14:textFill>
        </w:rPr>
        <w:t>与2022年同期相比，</w:t>
      </w:r>
      <w:r>
        <w:rPr>
          <w:rFonts w:hint="eastAsia" w:cs="宋体" w:asciiTheme="minorEastAsia" w:hAnsiTheme="minorEastAsia" w:eastAsiaTheme="minorEastAsia"/>
          <w:color w:val="000000" w:themeColor="text1"/>
          <w:kern w:val="0"/>
          <w:sz w:val="28"/>
          <w:szCs w:val="28"/>
          <w14:textFill>
            <w14:solidFill>
              <w14:schemeClr w14:val="tx1"/>
            </w14:solidFill>
          </w14:textFill>
        </w:rPr>
        <w:t>食品类</w:t>
      </w:r>
      <w:r>
        <w:rPr>
          <w:rFonts w:hint="eastAsia" w:cs="仿宋" w:asciiTheme="minorEastAsia" w:hAnsiTheme="minorEastAsia" w:eastAsiaTheme="minorEastAsia"/>
          <w:color w:val="000000" w:themeColor="text1"/>
          <w:kern w:val="0"/>
          <w:sz w:val="28"/>
          <w:szCs w:val="28"/>
          <w14:textFill>
            <w14:solidFill>
              <w14:schemeClr w14:val="tx1"/>
            </w14:solidFill>
          </w14:textFill>
        </w:rPr>
        <w:t>、</w:t>
      </w:r>
      <w:r>
        <w:rPr>
          <w:rFonts w:hint="eastAsia" w:cs="宋体" w:asciiTheme="minorEastAsia" w:hAnsiTheme="minorEastAsia" w:eastAsiaTheme="minorEastAsia"/>
          <w:color w:val="000000" w:themeColor="text1"/>
          <w:kern w:val="0"/>
          <w:sz w:val="28"/>
          <w:szCs w:val="28"/>
          <w14:textFill>
            <w14:solidFill>
              <w14:schemeClr w14:val="tx1"/>
            </w14:solidFill>
          </w14:textFill>
        </w:rPr>
        <w:t>医药及医疗用品类</w:t>
      </w:r>
      <w:r>
        <w:rPr>
          <w:rFonts w:hint="eastAsia" w:cs="仿宋" w:asciiTheme="minorEastAsia" w:hAnsiTheme="minorEastAsia" w:eastAsiaTheme="minorEastAsia"/>
          <w:color w:val="000000" w:themeColor="text1"/>
          <w:kern w:val="0"/>
          <w:sz w:val="28"/>
          <w:szCs w:val="28"/>
          <w14:textFill>
            <w14:solidFill>
              <w14:schemeClr w14:val="tx1"/>
            </w14:solidFill>
          </w14:textFill>
        </w:rPr>
        <w:t>等的投诉呈上升趋势，而</w:t>
      </w:r>
      <w:r>
        <w:rPr>
          <w:rFonts w:hint="eastAsia" w:cs="宋体" w:asciiTheme="minorEastAsia" w:hAnsiTheme="minorEastAsia" w:eastAsiaTheme="minorEastAsia"/>
          <w:color w:val="000000" w:themeColor="text1"/>
          <w:kern w:val="0"/>
          <w:sz w:val="28"/>
          <w:szCs w:val="28"/>
          <w14:textFill>
            <w14:solidFill>
              <w14:schemeClr w14:val="tx1"/>
            </w14:solidFill>
          </w14:textFill>
        </w:rPr>
        <w:t>交通工具类、家用电子电器类、房屋及建材类等</w:t>
      </w:r>
      <w:r>
        <w:rPr>
          <w:rFonts w:hint="eastAsia" w:cs="仿宋" w:asciiTheme="minorEastAsia" w:hAnsiTheme="minorEastAsia" w:eastAsiaTheme="minorEastAsia"/>
          <w:color w:val="000000" w:themeColor="text1"/>
          <w:kern w:val="0"/>
          <w:sz w:val="28"/>
          <w:szCs w:val="28"/>
          <w14:textFill>
            <w14:solidFill>
              <w14:schemeClr w14:val="tx1"/>
            </w14:solidFill>
          </w14:textFill>
        </w:rPr>
        <w:t>下降趋势较为明显（见表2）。</w:t>
      </w:r>
    </w:p>
    <w:p>
      <w:pPr>
        <w:spacing w:line="600" w:lineRule="exact"/>
        <w:ind w:firstLine="560" w:firstLineChars="200"/>
        <w:rPr>
          <w:rFonts w:cs="宋体" w:asciiTheme="minorEastAsia" w:hAnsiTheme="minorEastAsia" w:eastAsiaTheme="minorEastAsia"/>
          <w:color w:val="000000" w:themeColor="text1"/>
          <w:kern w:val="0"/>
          <w:sz w:val="28"/>
          <w:szCs w:val="28"/>
          <w14:textFill>
            <w14:solidFill>
              <w14:schemeClr w14:val="tx1"/>
            </w14:solidFill>
          </w14:textFill>
        </w:rPr>
      </w:pPr>
    </w:p>
    <w:p>
      <w:pPr>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图2：商品大类投诉量图（单位</w:t>
      </w:r>
      <w:r>
        <w:rPr>
          <w:rFonts w:hint="eastAsia" w:cs="宋体" w:asciiTheme="minorEastAsia" w:hAnsiTheme="minorEastAsia" w:eastAsiaTheme="minorEastAsia"/>
          <w:color w:val="000000" w:themeColor="text1"/>
          <w:kern w:val="0"/>
          <w:sz w:val="28"/>
          <w:szCs w:val="28"/>
          <w:lang w:eastAsia="zh-CN"/>
          <w14:textFill>
            <w14:solidFill>
              <w14:schemeClr w14:val="tx1"/>
            </w14:solidFill>
          </w14:textFill>
        </w:rPr>
        <w:t>：</w:t>
      </w:r>
      <w:r>
        <w:rPr>
          <w:rFonts w:hint="eastAsia" w:cs="宋体" w:asciiTheme="minorEastAsia" w:hAnsiTheme="minorEastAsia" w:eastAsiaTheme="minorEastAsia"/>
          <w:color w:val="000000" w:themeColor="text1"/>
          <w:kern w:val="0"/>
          <w:sz w:val="28"/>
          <w:szCs w:val="28"/>
          <w14:textFill>
            <w14:solidFill>
              <w14:schemeClr w14:val="tx1"/>
            </w14:solidFill>
          </w14:textFill>
        </w:rPr>
        <w:t>件）</w:t>
      </w:r>
      <w:r>
        <w:rPr>
          <w:rFonts w:hint="eastAsia" w:cs="宋体" w:asciiTheme="minorEastAsia" w:hAnsiTheme="minorEastAsia" w:eastAsiaTheme="minorEastAsia"/>
          <w:color w:val="000000" w:themeColor="text1"/>
          <w:kern w:val="0"/>
          <w:sz w:val="28"/>
          <w:szCs w:val="28"/>
          <w14:textFill>
            <w14:solidFill>
              <w14:schemeClr w14:val="tx1"/>
            </w14:solidFill>
          </w14:textFill>
        </w:rPr>
        <w:drawing>
          <wp:anchor distT="0" distB="0" distL="114300" distR="114300" simplePos="0" relativeHeight="251661312" behindDoc="0" locked="0" layoutInCell="1" allowOverlap="1">
            <wp:simplePos x="0" y="0"/>
            <wp:positionH relativeFrom="margin">
              <wp:posOffset>113665</wp:posOffset>
            </wp:positionH>
            <wp:positionV relativeFrom="margin">
              <wp:posOffset>-825500</wp:posOffset>
            </wp:positionV>
            <wp:extent cx="5343525" cy="2867025"/>
            <wp:effectExtent l="0" t="0" r="0" b="0"/>
            <wp:wrapSquare wrapText="bothSides"/>
            <wp:docPr id="4" name="对象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p>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表2 商品大类占总投诉量变化表</w:t>
      </w:r>
    </w:p>
    <w:tbl>
      <w:tblPr>
        <w:tblStyle w:val="16"/>
        <w:tblW w:w="878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76"/>
        <w:gridCol w:w="2299"/>
        <w:gridCol w:w="2299"/>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商品大类</w:t>
            </w:r>
          </w:p>
        </w:tc>
        <w:tc>
          <w:tcPr>
            <w:tcW w:w="2299"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2022年第三季度投诉量占投诉总量比（%）</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2023年第三季度投诉量占投诉总量比（%）</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比较结果</w:t>
            </w:r>
          </w:p>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食品类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16.21</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18.15</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医药及医疗用品类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1.88</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2.66</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日用商品类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5.64</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6.39</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服装鞋帽类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7.31</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7.83</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烟、酒和饮料类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2.76</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2.85</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农用生产资料类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0.52</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0.56</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首饰及文体用品类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2.94</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2.85</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房屋及建材类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6.27</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5.46</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家用电子电器类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11.16</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9.78</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876"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交通工具类</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3.98</w:t>
            </w:r>
          </w:p>
        </w:tc>
        <w:tc>
          <w:tcPr>
            <w:tcW w:w="2299" w:type="dxa"/>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2.56</w:t>
            </w:r>
          </w:p>
        </w:tc>
        <w:tc>
          <w:tcPr>
            <w:tcW w:w="131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↓1.42</w:t>
            </w:r>
          </w:p>
        </w:tc>
      </w:tr>
    </w:tbl>
    <w:p>
      <w:pPr>
        <w:widowControl/>
        <w:spacing w:line="600" w:lineRule="exact"/>
        <w:jc w:val="left"/>
        <w:rPr>
          <w:rFonts w:cs="宋体" w:asciiTheme="minorEastAsia" w:hAnsiTheme="minorEastAsia" w:eastAsiaTheme="minorEastAsia"/>
          <w:b/>
          <w:color w:val="000000" w:themeColor="text1"/>
          <w:kern w:val="0"/>
          <w:sz w:val="28"/>
          <w:szCs w:val="28"/>
          <w14:textFill>
            <w14:solidFill>
              <w14:schemeClr w14:val="tx1"/>
            </w14:solidFill>
          </w14:textFill>
        </w:rPr>
      </w:pPr>
      <w:r>
        <w:rPr>
          <w:rFonts w:hint="eastAsia" w:cs="宋体" w:asciiTheme="minorEastAsia" w:hAnsiTheme="minorEastAsia" w:eastAsiaTheme="minorEastAsia"/>
          <w:b/>
          <w:color w:val="000000" w:themeColor="text1"/>
          <w:kern w:val="0"/>
          <w:sz w:val="28"/>
          <w:szCs w:val="28"/>
          <w14:textFill>
            <w14:solidFill>
              <w14:schemeClr w14:val="tx1"/>
            </w14:solidFill>
          </w14:textFill>
        </w:rPr>
        <w:t>　</w:t>
      </w:r>
    </w:p>
    <w:p>
      <w:pPr>
        <w:widowControl/>
        <w:spacing w:line="600" w:lineRule="exact"/>
        <w:jc w:val="left"/>
        <w:rPr>
          <w:rFonts w:cs="宋体" w:asciiTheme="minorEastAsia" w:hAnsiTheme="minorEastAsia" w:eastAsiaTheme="minorEastAsia"/>
          <w:b/>
          <w:color w:val="000000" w:themeColor="text1"/>
          <w:kern w:val="0"/>
          <w:sz w:val="28"/>
          <w:szCs w:val="28"/>
          <w14:textFill>
            <w14:solidFill>
              <w14:schemeClr w14:val="tx1"/>
            </w14:solidFill>
          </w14:textFill>
        </w:rPr>
      </w:pPr>
      <w:r>
        <w:rPr>
          <w:rFonts w:hint="eastAsia" w:cs="宋体" w:asciiTheme="minorEastAsia" w:hAnsiTheme="minorEastAsia" w:eastAsiaTheme="minorEastAsia"/>
          <w:b/>
          <w:color w:val="000000" w:themeColor="text1"/>
          <w:kern w:val="0"/>
          <w:sz w:val="28"/>
          <w:szCs w:val="28"/>
          <w14:textFill>
            <w14:solidFill>
              <w14:schemeClr w14:val="tx1"/>
            </w14:solidFill>
          </w14:textFill>
        </w:rPr>
        <w:t>（三）服务类投诉分析</w:t>
      </w:r>
    </w:p>
    <w:p>
      <w:pPr>
        <w:widowControl/>
        <w:spacing w:line="600" w:lineRule="exact"/>
        <w:ind w:firstLine="616" w:firstLineChars="220"/>
        <w:jc w:val="left"/>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按服务种类来分，涉及生活、社会服务类，</w:t>
      </w:r>
      <w:r>
        <w:rPr>
          <w:rFonts w:hint="eastAsia" w:cs="仿宋" w:asciiTheme="minorEastAsia" w:hAnsiTheme="minorEastAsia" w:eastAsiaTheme="minorEastAsia"/>
          <w:color w:val="000000" w:themeColor="text1"/>
          <w:kern w:val="0"/>
          <w:sz w:val="28"/>
          <w:szCs w:val="28"/>
          <w14:textFill>
            <w14:solidFill>
              <w14:schemeClr w14:val="tx1"/>
            </w14:solidFill>
          </w14:textFill>
        </w:rPr>
        <w:t>销售服务类及</w:t>
      </w:r>
      <w:r>
        <w:rPr>
          <w:rFonts w:hint="eastAsia" w:cs="宋体" w:asciiTheme="minorEastAsia" w:hAnsiTheme="minorEastAsia" w:eastAsiaTheme="minorEastAsia"/>
          <w:color w:val="000000" w:themeColor="text1"/>
          <w:kern w:val="0"/>
          <w:sz w:val="28"/>
          <w:szCs w:val="28"/>
          <w14:textFill>
            <w14:solidFill>
              <w14:schemeClr w14:val="tx1"/>
            </w14:solidFill>
          </w14:textFill>
        </w:rPr>
        <w:t>文化、娱乐、体育服务类的消费者投诉居前三位（见图3）。</w:t>
      </w:r>
    </w:p>
    <w:p>
      <w:pPr>
        <w:pStyle w:val="8"/>
        <w:rPr>
          <w:rFonts w:asciiTheme="minorEastAsia" w:hAnsiTheme="minorEastAsia" w:eastAsiaTheme="minorEastAsia"/>
          <w:color w:val="000000" w:themeColor="text1"/>
          <w:sz w:val="28"/>
          <w:szCs w:val="28"/>
          <w14:textFill>
            <w14:solidFill>
              <w14:schemeClr w14:val="tx1"/>
            </w14:solidFill>
          </w14:textFill>
        </w:rPr>
      </w:pPr>
    </w:p>
    <w:p>
      <w:pPr>
        <w:widowControl/>
        <w:spacing w:line="600" w:lineRule="exact"/>
        <w:ind w:firstLine="616" w:firstLineChars="220"/>
        <w:jc w:val="lef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drawing>
          <wp:anchor distT="0" distB="0" distL="114300" distR="114300" simplePos="0" relativeHeight="251659264" behindDoc="0" locked="0" layoutInCell="1" allowOverlap="0">
            <wp:simplePos x="0" y="0"/>
            <wp:positionH relativeFrom="column">
              <wp:posOffset>132715</wp:posOffset>
            </wp:positionH>
            <wp:positionV relativeFrom="paragraph">
              <wp:posOffset>-50800</wp:posOffset>
            </wp:positionV>
            <wp:extent cx="5486400" cy="3657600"/>
            <wp:effectExtent l="0" t="0" r="0" b="0"/>
            <wp:wrapNone/>
            <wp:docPr id="1" name="对象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widowControl/>
        <w:spacing w:line="600" w:lineRule="exact"/>
        <w:ind w:firstLine="616" w:firstLineChars="220"/>
        <w:jc w:val="left"/>
        <w:rPr>
          <w:rFonts w:asciiTheme="minorEastAsia" w:hAnsiTheme="minorEastAsia" w:eastAsiaTheme="minorEastAsia"/>
          <w:color w:val="000000" w:themeColor="text1"/>
          <w:sz w:val="28"/>
          <w:szCs w:val="28"/>
          <w14:textFill>
            <w14:solidFill>
              <w14:schemeClr w14:val="tx1"/>
            </w14:solidFill>
          </w14:textFill>
        </w:rPr>
      </w:pPr>
    </w:p>
    <w:p>
      <w:pPr>
        <w:widowControl/>
        <w:spacing w:line="600" w:lineRule="exact"/>
        <w:ind w:firstLine="616" w:firstLineChars="220"/>
        <w:jc w:val="left"/>
        <w:rPr>
          <w:rFonts w:asciiTheme="minorEastAsia" w:hAnsiTheme="minorEastAsia" w:eastAsiaTheme="minorEastAsia"/>
          <w:color w:val="000000" w:themeColor="text1"/>
          <w:sz w:val="28"/>
          <w:szCs w:val="28"/>
          <w14:textFill>
            <w14:solidFill>
              <w14:schemeClr w14:val="tx1"/>
            </w14:solidFill>
          </w14:textFill>
        </w:rPr>
      </w:pPr>
    </w:p>
    <w:p>
      <w:pPr>
        <w:widowControl/>
        <w:spacing w:line="600" w:lineRule="exact"/>
        <w:ind w:firstLine="616" w:firstLineChars="220"/>
        <w:jc w:val="left"/>
        <w:rPr>
          <w:rFonts w:asciiTheme="minorEastAsia" w:hAnsiTheme="minorEastAsia" w:eastAsiaTheme="minorEastAsia"/>
          <w:color w:val="000000" w:themeColor="text1"/>
          <w:sz w:val="28"/>
          <w:szCs w:val="28"/>
          <w14:textFill>
            <w14:solidFill>
              <w14:schemeClr w14:val="tx1"/>
            </w14:solidFill>
          </w14:textFill>
        </w:rPr>
      </w:pPr>
    </w:p>
    <w:p>
      <w:pPr>
        <w:widowControl/>
        <w:spacing w:line="600" w:lineRule="exact"/>
        <w:ind w:firstLine="616" w:firstLineChars="220"/>
        <w:jc w:val="left"/>
        <w:rPr>
          <w:rFonts w:asciiTheme="minorEastAsia" w:hAnsiTheme="minorEastAsia" w:eastAsiaTheme="minorEastAsia"/>
          <w:color w:val="000000" w:themeColor="text1"/>
          <w:sz w:val="28"/>
          <w:szCs w:val="28"/>
          <w14:textFill>
            <w14:solidFill>
              <w14:schemeClr w14:val="tx1"/>
            </w14:solidFill>
          </w14:textFill>
        </w:rPr>
      </w:pPr>
    </w:p>
    <w:p>
      <w:pPr>
        <w:widowControl/>
        <w:spacing w:line="600" w:lineRule="exact"/>
        <w:ind w:firstLine="616" w:firstLineChars="220"/>
        <w:jc w:val="left"/>
        <w:rPr>
          <w:rFonts w:cs="仿宋" w:asciiTheme="minorEastAsia" w:hAnsiTheme="minorEastAsia" w:eastAsiaTheme="minorEastAsia"/>
          <w:color w:val="000000" w:themeColor="text1"/>
          <w:kern w:val="0"/>
          <w:sz w:val="28"/>
          <w:szCs w:val="28"/>
          <w14:textFill>
            <w14:solidFill>
              <w14:schemeClr w14:val="tx1"/>
            </w14:solidFill>
          </w14:textFill>
        </w:rPr>
      </w:pPr>
    </w:p>
    <w:p>
      <w:pPr>
        <w:widowControl/>
        <w:spacing w:line="600" w:lineRule="exact"/>
        <w:ind w:firstLine="616" w:firstLineChars="220"/>
        <w:jc w:val="left"/>
        <w:rPr>
          <w:rFonts w:cs="仿宋" w:asciiTheme="minorEastAsia" w:hAnsiTheme="minorEastAsia" w:eastAsiaTheme="minorEastAsia"/>
          <w:color w:val="000000" w:themeColor="text1"/>
          <w:kern w:val="0"/>
          <w:sz w:val="28"/>
          <w:szCs w:val="28"/>
          <w14:textFill>
            <w14:solidFill>
              <w14:schemeClr w14:val="tx1"/>
            </w14:solidFill>
          </w14:textFill>
        </w:rPr>
      </w:pPr>
    </w:p>
    <w:p>
      <w:pPr>
        <w:widowControl/>
        <w:spacing w:line="600" w:lineRule="exact"/>
        <w:ind w:firstLine="616" w:firstLineChars="220"/>
        <w:jc w:val="left"/>
        <w:rPr>
          <w:rFonts w:cs="仿宋" w:asciiTheme="minorEastAsia" w:hAnsiTheme="minorEastAsia" w:eastAsiaTheme="minorEastAsia"/>
          <w:color w:val="000000" w:themeColor="text1"/>
          <w:kern w:val="0"/>
          <w:sz w:val="28"/>
          <w:szCs w:val="28"/>
          <w14:textFill>
            <w14:solidFill>
              <w14:schemeClr w14:val="tx1"/>
            </w14:solidFill>
          </w14:textFill>
        </w:rPr>
      </w:pPr>
    </w:p>
    <w:p>
      <w:pPr>
        <w:widowControl/>
        <w:spacing w:line="600" w:lineRule="exact"/>
        <w:ind w:firstLine="616" w:firstLineChars="220"/>
        <w:jc w:val="left"/>
        <w:rPr>
          <w:rFonts w:cs="仿宋" w:asciiTheme="minorEastAsia" w:hAnsiTheme="minorEastAsia" w:eastAsiaTheme="minorEastAsia"/>
          <w:color w:val="000000" w:themeColor="text1"/>
          <w:kern w:val="0"/>
          <w:sz w:val="28"/>
          <w:szCs w:val="28"/>
          <w14:textFill>
            <w14:solidFill>
              <w14:schemeClr w14:val="tx1"/>
            </w14:solidFill>
          </w14:textFill>
        </w:rPr>
      </w:pPr>
    </w:p>
    <w:p>
      <w:pPr>
        <w:widowControl/>
        <w:spacing w:line="600" w:lineRule="exact"/>
        <w:ind w:firstLine="616" w:firstLineChars="220"/>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图3   服务大类投诉量图（单位：件）</w:t>
      </w:r>
    </w:p>
    <w:p>
      <w:pPr>
        <w:widowControl/>
        <w:tabs>
          <w:tab w:val="left" w:pos="6165"/>
        </w:tabs>
        <w:spacing w:line="600" w:lineRule="exact"/>
        <w:ind w:firstLine="616" w:firstLineChars="220"/>
        <w:jc w:val="left"/>
        <w:rPr>
          <w:rFonts w:cs="仿宋" w:asciiTheme="minorEastAsia" w:hAnsiTheme="minorEastAsia" w:eastAsiaTheme="minorEastAsia"/>
          <w:color w:val="000000" w:themeColor="text1"/>
          <w:kern w:val="0"/>
          <w:sz w:val="28"/>
          <w:szCs w:val="28"/>
          <w14:textFill>
            <w14:solidFill>
              <w14:schemeClr w14:val="tx1"/>
            </w14:solidFill>
          </w14:textFill>
        </w:rPr>
      </w:pPr>
      <w:r>
        <w:rPr>
          <w:rFonts w:cs="仿宋" w:asciiTheme="minorEastAsia" w:hAnsiTheme="minorEastAsia" w:eastAsiaTheme="minorEastAsia"/>
          <w:color w:val="000000" w:themeColor="text1"/>
          <w:kern w:val="0"/>
          <w:sz w:val="28"/>
          <w:szCs w:val="28"/>
          <w14:textFill>
            <w14:solidFill>
              <w14:schemeClr w14:val="tx1"/>
            </w14:solidFill>
          </w14:textFill>
        </w:rPr>
        <w:tab/>
      </w:r>
    </w:p>
    <w:p>
      <w:pPr>
        <w:widowControl/>
        <w:spacing w:line="600" w:lineRule="exact"/>
        <w:ind w:firstLine="616" w:firstLineChars="220"/>
        <w:jc w:val="left"/>
        <w:rPr>
          <w:rFonts w:cs="仿宋" w:asciiTheme="minorEastAsia" w:hAnsiTheme="minorEastAsia" w:eastAsiaTheme="minorEastAsia"/>
          <w:color w:val="000000" w:themeColor="text1"/>
          <w:kern w:val="0"/>
          <w:sz w:val="28"/>
          <w:szCs w:val="28"/>
          <w14:textFill>
            <w14:solidFill>
              <w14:schemeClr w14:val="tx1"/>
            </w14:solidFill>
          </w14:textFill>
        </w:rPr>
      </w:pPr>
      <w:r>
        <w:rPr>
          <w:rFonts w:hint="eastAsia" w:cs="仿宋" w:asciiTheme="minorEastAsia" w:hAnsiTheme="minorEastAsia" w:eastAsiaTheme="minorEastAsia"/>
          <w:color w:val="000000" w:themeColor="text1"/>
          <w:kern w:val="0"/>
          <w:sz w:val="28"/>
          <w:szCs w:val="28"/>
          <w14:textFill>
            <w14:solidFill>
              <w14:schemeClr w14:val="tx1"/>
            </w14:solidFill>
          </w14:textFill>
        </w:rPr>
        <w:t>与2022年同期相比，</w:t>
      </w:r>
      <w:r>
        <w:rPr>
          <w:rFonts w:hint="eastAsia" w:cs="宋体" w:asciiTheme="minorEastAsia" w:hAnsiTheme="minorEastAsia" w:eastAsiaTheme="minorEastAsia"/>
          <w:color w:val="000000" w:themeColor="text1"/>
          <w:kern w:val="0"/>
          <w:sz w:val="28"/>
          <w:szCs w:val="28"/>
          <w14:textFill>
            <w14:solidFill>
              <w14:schemeClr w14:val="tx1"/>
            </w14:solidFill>
          </w14:textFill>
        </w:rPr>
        <w:t>销售服务类投诉增长幅度较大，教育培训服务类</w:t>
      </w:r>
      <w:r>
        <w:rPr>
          <w:rFonts w:hint="eastAsia" w:cs="仿宋" w:asciiTheme="minorEastAsia" w:hAnsiTheme="minorEastAsia" w:eastAsiaTheme="minorEastAsia"/>
          <w:color w:val="000000" w:themeColor="text1"/>
          <w:kern w:val="0"/>
          <w:sz w:val="28"/>
          <w:szCs w:val="28"/>
          <w14:textFill>
            <w14:solidFill>
              <w14:schemeClr w14:val="tx1"/>
            </w14:solidFill>
          </w14:textFill>
        </w:rPr>
        <w:t>消费投诉略微增长，而</w:t>
      </w:r>
      <w:r>
        <w:rPr>
          <w:rFonts w:hint="eastAsia" w:cs="宋体" w:asciiTheme="minorEastAsia" w:hAnsiTheme="minorEastAsia" w:eastAsiaTheme="minorEastAsia"/>
          <w:color w:val="000000" w:themeColor="text1"/>
          <w:kern w:val="0"/>
          <w:sz w:val="28"/>
          <w:szCs w:val="28"/>
          <w14:textFill>
            <w14:solidFill>
              <w14:schemeClr w14:val="tx1"/>
            </w14:solidFill>
          </w14:textFill>
        </w:rPr>
        <w:t>文化、娱乐、体育服务，公共设施服务和生活、社会服务类</w:t>
      </w:r>
      <w:r>
        <w:rPr>
          <w:rFonts w:hint="eastAsia" w:cs="仿宋" w:asciiTheme="minorEastAsia" w:hAnsiTheme="minorEastAsia" w:eastAsiaTheme="minorEastAsia"/>
          <w:color w:val="000000" w:themeColor="text1"/>
          <w:kern w:val="0"/>
          <w:sz w:val="28"/>
          <w:szCs w:val="28"/>
          <w14:textFill>
            <w14:solidFill>
              <w14:schemeClr w14:val="tx1"/>
            </w14:solidFill>
          </w14:textFill>
        </w:rPr>
        <w:t>等呈下降趋势（见表3）。</w:t>
      </w:r>
    </w:p>
    <w:p>
      <w:pPr>
        <w:pStyle w:val="2"/>
        <w:ind w:firstLine="560"/>
        <w:rPr>
          <w:rFonts w:cs="仿宋" w:asciiTheme="minorEastAsia" w:hAnsiTheme="minorEastAsia" w:eastAsiaTheme="minorEastAsia"/>
          <w:color w:val="000000" w:themeColor="text1"/>
          <w:kern w:val="0"/>
          <w:sz w:val="28"/>
          <w:szCs w:val="28"/>
          <w14:textFill>
            <w14:solidFill>
              <w14:schemeClr w14:val="tx1"/>
            </w14:solidFill>
          </w14:textFill>
        </w:rPr>
      </w:pPr>
    </w:p>
    <w:p>
      <w:pPr>
        <w:pStyle w:val="2"/>
        <w:ind w:firstLine="560"/>
        <w:rPr>
          <w:rFonts w:cs="仿宋" w:asciiTheme="minorEastAsia" w:hAnsiTheme="minorEastAsia" w:eastAsiaTheme="minorEastAsia"/>
          <w:color w:val="000000" w:themeColor="text1"/>
          <w:kern w:val="0"/>
          <w:sz w:val="28"/>
          <w:szCs w:val="28"/>
          <w14:textFill>
            <w14:solidFill>
              <w14:schemeClr w14:val="tx1"/>
            </w14:solidFill>
          </w14:textFill>
        </w:rPr>
      </w:pPr>
    </w:p>
    <w:p>
      <w:pPr>
        <w:pStyle w:val="2"/>
        <w:ind w:firstLine="560"/>
        <w:rPr>
          <w:rFonts w:cs="仿宋" w:asciiTheme="minorEastAsia" w:hAnsiTheme="minorEastAsia" w:eastAsiaTheme="minorEastAsia"/>
          <w:color w:val="000000" w:themeColor="text1"/>
          <w:kern w:val="0"/>
          <w:sz w:val="28"/>
          <w:szCs w:val="28"/>
          <w14:textFill>
            <w14:solidFill>
              <w14:schemeClr w14:val="tx1"/>
            </w14:solidFill>
          </w14:textFill>
        </w:rPr>
      </w:pPr>
    </w:p>
    <w:p>
      <w:pPr>
        <w:pStyle w:val="2"/>
        <w:ind w:firstLine="560"/>
        <w:rPr>
          <w:rFonts w:cs="仿宋" w:asciiTheme="minorEastAsia" w:hAnsiTheme="minorEastAsia" w:eastAsiaTheme="minorEastAsia"/>
          <w:color w:val="000000" w:themeColor="text1"/>
          <w:kern w:val="0"/>
          <w:sz w:val="28"/>
          <w:szCs w:val="28"/>
          <w14:textFill>
            <w14:solidFill>
              <w14:schemeClr w14:val="tx1"/>
            </w14:solidFill>
          </w14:textFill>
        </w:rPr>
      </w:pPr>
    </w:p>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表3 服务大类投诉量占比变化表</w:t>
      </w:r>
    </w:p>
    <w:tbl>
      <w:tblPr>
        <w:tblStyle w:val="16"/>
        <w:tblW w:w="883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85"/>
        <w:gridCol w:w="2021"/>
        <w:gridCol w:w="222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服务大类</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2022年第三季度投诉量占投诉总量比（%）</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2023年第三季度投诉量占投诉总量比（%）</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比较结果</w:t>
            </w:r>
          </w:p>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销售服务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5.71</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10.16</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教育培训服务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1.89</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2.44</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银行服务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0.03</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0.01</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旅游服务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0.76</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0.73</w:t>
            </w:r>
          </w:p>
        </w:tc>
        <w:tc>
          <w:tcPr>
            <w:tcW w:w="1400" w:type="dxa"/>
            <w:vAlign w:val="center"/>
          </w:tcPr>
          <w:p>
            <w:pPr>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互联网服务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0.61</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0.58</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保险服务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0.18</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0.10</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卫生保健服务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0.53</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0.43</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邮政业服务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0.44</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0.29</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通信服务类</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1.21</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0.72</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房屋装修及物业服务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3.79</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2.77</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生活、社会服务类</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15.73</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14.61</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公共设施服务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1.78</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0.50</w:t>
            </w:r>
          </w:p>
        </w:tc>
        <w:tc>
          <w:tcPr>
            <w:tcW w:w="1400" w:type="dxa"/>
            <w:vAlign w:val="center"/>
          </w:tcPr>
          <w:p>
            <w:pPr>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318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文化、娱乐、体育服务</w:t>
            </w:r>
          </w:p>
        </w:tc>
        <w:tc>
          <w:tcPr>
            <w:tcW w:w="2021"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5.52</w:t>
            </w:r>
          </w:p>
        </w:tc>
        <w:tc>
          <w:tcPr>
            <w:tcW w:w="2225"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4.01</w:t>
            </w:r>
          </w:p>
        </w:tc>
        <w:tc>
          <w:tcPr>
            <w:tcW w:w="1400" w:type="dxa"/>
            <w:vAlign w:val="center"/>
          </w:tcPr>
          <w:p>
            <w:pPr>
              <w:widowControl/>
              <w:spacing w:line="600" w:lineRule="exact"/>
              <w:jc w:val="center"/>
              <w:rPr>
                <w:rFonts w:cs="宋体" w:asciiTheme="minorEastAsia" w:hAnsiTheme="minorEastAsia" w:eastAsiaTheme="minorEastAsia"/>
                <w:color w:val="000000" w:themeColor="text1"/>
                <w:kern w:val="0"/>
                <w:sz w:val="28"/>
                <w:szCs w:val="28"/>
                <w14:textFill>
                  <w14:solidFill>
                    <w14:schemeClr w14:val="tx1"/>
                  </w14:solidFill>
                </w14:textFill>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↓1.51</w:t>
            </w:r>
          </w:p>
        </w:tc>
      </w:tr>
    </w:tbl>
    <w:p>
      <w:pPr>
        <w:tabs>
          <w:tab w:val="left" w:pos="3495"/>
        </w:tabs>
        <w:spacing w:line="600" w:lineRule="exact"/>
        <w:rPr>
          <w:rFonts w:cs="方正黑体简体" w:asciiTheme="minorEastAsia" w:hAnsiTheme="minorEastAsia" w:eastAsiaTheme="minorEastAsia"/>
          <w:color w:val="000000" w:themeColor="text1"/>
          <w:sz w:val="28"/>
          <w:szCs w:val="28"/>
          <w14:textFill>
            <w14:solidFill>
              <w14:schemeClr w14:val="tx1"/>
            </w14:solidFill>
          </w14:textFill>
        </w:rPr>
      </w:pPr>
      <w:r>
        <w:rPr>
          <w:rFonts w:hint="eastAsia" w:cs="方正黑体简体" w:asciiTheme="minorEastAsia" w:hAnsiTheme="minorEastAsia" w:eastAsiaTheme="minorEastAsia"/>
          <w:color w:val="000000" w:themeColor="text1"/>
          <w:sz w:val="28"/>
          <w:szCs w:val="28"/>
          <w14:textFill>
            <w14:solidFill>
              <w14:schemeClr w14:val="tx1"/>
            </w14:solidFill>
          </w14:textFill>
        </w:rPr>
        <w:t>　　二、投诉热点分析</w:t>
      </w:r>
    </w:p>
    <w:p>
      <w:pPr>
        <w:spacing w:line="576" w:lineRule="exact"/>
        <w:ind w:firstLine="660"/>
        <w:rPr>
          <w:rFonts w:cs="方正仿宋简体" w:asciiTheme="minorEastAsia" w:hAnsiTheme="minorEastAsia" w:eastAsiaTheme="minorEastAsia"/>
          <w:color w:val="000000" w:themeColor="text1"/>
          <w:sz w:val="28"/>
          <w:szCs w:val="28"/>
          <w14:textFill>
            <w14:solidFill>
              <w14:schemeClr w14:val="tx1"/>
            </w14:solidFill>
          </w14:textFill>
        </w:rPr>
      </w:pPr>
      <w:r>
        <w:rPr>
          <w:rFonts w:hint="eastAsia" w:cs="方正仿宋简体" w:asciiTheme="minorEastAsia" w:hAnsiTheme="minorEastAsia" w:eastAsiaTheme="minorEastAsia"/>
          <w:color w:val="000000" w:themeColor="text1"/>
          <w:sz w:val="28"/>
          <w:szCs w:val="28"/>
          <w14:textFill>
            <w14:solidFill>
              <w14:schemeClr w14:val="tx1"/>
            </w14:solidFill>
          </w14:textFill>
        </w:rPr>
        <w:t>从第三季度消费投诉来看，消费投诉的热点涉及到售后服务、食品安全、网络购物等方面，从投诉的总量上看，涉及商量质量的投诉占比仍为最高，商品类别中食品类投诉高居榜首，服务类投诉整体向好，除销售服务、教育培训服务投诉量增长外，13类服务行业中11类投诉量都在下降。第三季度主要有以下投诉热点问题备受关注：</w:t>
      </w:r>
    </w:p>
    <w:p>
      <w:pPr>
        <w:spacing w:line="576" w:lineRule="exact"/>
        <w:rPr>
          <w:rFonts w:cs="方正仿宋简体" w:asciiTheme="minorEastAsia" w:hAnsiTheme="minorEastAsia" w:eastAsiaTheme="minorEastAsia"/>
          <w:b/>
          <w:bCs/>
          <w:color w:val="000000" w:themeColor="text1"/>
          <w:sz w:val="28"/>
          <w:szCs w:val="28"/>
          <w14:textFill>
            <w14:solidFill>
              <w14:schemeClr w14:val="tx1"/>
            </w14:solidFill>
          </w14:textFill>
        </w:rPr>
      </w:pPr>
      <w:r>
        <w:rPr>
          <w:rFonts w:hint="eastAsia" w:cs="方正楷体简体" w:asciiTheme="minorEastAsia" w:hAnsiTheme="minorEastAsia" w:eastAsiaTheme="minorEastAsia"/>
          <w:b/>
          <w:bCs/>
          <w:color w:val="000000" w:themeColor="text1"/>
          <w:sz w:val="28"/>
          <w:szCs w:val="28"/>
          <w14:textFill>
            <w14:solidFill>
              <w14:schemeClr w14:val="tx1"/>
            </w14:solidFill>
          </w14:textFill>
        </w:rPr>
        <w:t>　　（一）售后服务投诉增长显著。</w:t>
      </w:r>
      <w:r>
        <w:rPr>
          <w:rFonts w:hint="eastAsia" w:cs="方正仿宋简体" w:asciiTheme="minorEastAsia" w:hAnsiTheme="minorEastAsia" w:eastAsiaTheme="minorEastAsia"/>
          <w:color w:val="000000" w:themeColor="text1"/>
          <w:sz w:val="28"/>
          <w:szCs w:val="28"/>
          <w14:textFill>
            <w14:solidFill>
              <w14:schemeClr w14:val="tx1"/>
            </w14:solidFill>
          </w14:textFill>
        </w:rPr>
        <w:t>今年三季度售后服务类投诉环比增长3.5%，增幅位居第一。售后服务问题主要集中在汽车、电动车、家用电器等行业，</w:t>
      </w:r>
      <w:r>
        <w:rPr>
          <w:rFonts w:cs="方正仿宋简体" w:asciiTheme="minorEastAsia" w:hAnsiTheme="minorEastAsia" w:eastAsiaTheme="minorEastAsia"/>
          <w:color w:val="000000" w:themeColor="text1"/>
          <w:sz w:val="28"/>
          <w:szCs w:val="28"/>
          <w14:textFill>
            <w14:solidFill>
              <w14:schemeClr w14:val="tx1"/>
            </w14:solidFill>
          </w14:textFill>
        </w:rPr>
        <w:t>主要</w:t>
      </w:r>
      <w:r>
        <w:rPr>
          <w:rFonts w:hint="eastAsia" w:cs="方正仿宋简体" w:asciiTheme="minorEastAsia" w:hAnsiTheme="minorEastAsia" w:eastAsiaTheme="minorEastAsia"/>
          <w:color w:val="000000" w:themeColor="text1"/>
          <w:sz w:val="28"/>
          <w:szCs w:val="28"/>
          <w14:textFill>
            <w14:solidFill>
              <w14:schemeClr w14:val="tx1"/>
            </w14:solidFill>
          </w14:textFill>
        </w:rPr>
        <w:t>问题有：一是售后服务不及时，机器人客服回复无针对性，人工响应未及时跟进；二是售后服务费用不清晰，存在着小病大修、费用高等问题；三是售后服务承诺未履行，如高于国家标准的保修服务不兑现等。</w:t>
      </w:r>
      <w:r>
        <w:rPr>
          <w:rFonts w:hint="eastAsia" w:cs="方正仿宋简体" w:asciiTheme="minorEastAsia" w:hAnsiTheme="minorEastAsia" w:eastAsiaTheme="minorEastAsia"/>
          <w:b/>
          <w:bCs/>
          <w:color w:val="000000" w:themeColor="text1"/>
          <w:sz w:val="28"/>
          <w:szCs w:val="28"/>
          <w14:textFill>
            <w14:solidFill>
              <w14:schemeClr w14:val="tx1"/>
            </w14:solidFill>
          </w14:textFill>
        </w:rPr>
        <w:t>　</w:t>
      </w:r>
    </w:p>
    <w:p>
      <w:pPr>
        <w:spacing w:line="576" w:lineRule="exact"/>
        <w:rPr>
          <w:rFonts w:cs="方正仿宋简体" w:asciiTheme="minorEastAsia" w:hAnsiTheme="minorEastAsia" w:eastAsiaTheme="minorEastAsia"/>
          <w:color w:val="000000" w:themeColor="text1"/>
          <w:kern w:val="0"/>
          <w:sz w:val="28"/>
          <w:szCs w:val="28"/>
          <w14:textFill>
            <w14:solidFill>
              <w14:schemeClr w14:val="tx1"/>
            </w14:solidFill>
          </w14:textFill>
        </w:rPr>
      </w:pPr>
      <w:r>
        <w:rPr>
          <w:rFonts w:hint="eastAsia" w:cs="方正仿宋简体" w:asciiTheme="minorEastAsia" w:hAnsiTheme="minorEastAsia" w:eastAsiaTheme="minorEastAsia"/>
          <w:b/>
          <w:bCs/>
          <w:color w:val="000000" w:themeColor="text1"/>
          <w:sz w:val="28"/>
          <w:szCs w:val="28"/>
          <w14:textFill>
            <w14:solidFill>
              <w14:schemeClr w14:val="tx1"/>
            </w14:solidFill>
          </w14:textFill>
        </w:rPr>
        <w:t>　　</w:t>
      </w:r>
      <w:r>
        <w:rPr>
          <w:rFonts w:hint="eastAsia" w:asciiTheme="minorEastAsia" w:hAnsiTheme="minorEastAsia" w:eastAsiaTheme="minorEastAsia"/>
          <w:b/>
          <w:bCs/>
          <w:color w:val="000000" w:themeColor="text1"/>
          <w:kern w:val="0"/>
          <w:sz w:val="28"/>
          <w:szCs w:val="28"/>
          <w14:textFill>
            <w14:solidFill>
              <w14:schemeClr w14:val="tx1"/>
            </w14:solidFill>
          </w14:textFill>
        </w:rPr>
        <w:t>案例：</w:t>
      </w:r>
      <w:r>
        <w:rPr>
          <w:rFonts w:hint="eastAsia" w:cs="方正仿宋简体" w:asciiTheme="minorEastAsia" w:hAnsiTheme="minorEastAsia" w:eastAsiaTheme="minorEastAsia"/>
          <w:color w:val="000000" w:themeColor="text1"/>
          <w:kern w:val="0"/>
          <w:sz w:val="28"/>
          <w:szCs w:val="28"/>
          <w14:textFill>
            <w14:solidFill>
              <w14:schemeClr w14:val="tx1"/>
            </w14:solidFill>
          </w14:textFill>
        </w:rPr>
        <w:t>2023年9月6日，遂宁市蓬溪县保护消费者权益委员会接到消费者李先生投诉称，他于2023年8月31日在金桥镇某车行购买了一台4000余元的电动车，才买了3天就出现问题，经营者承诺保修，可全部拆开也未能找到故障原因。经调解，经营者为消费者更换一台同品牌的新电动车，消费者表示满意。</w:t>
      </w:r>
    </w:p>
    <w:p>
      <w:pPr>
        <w:pStyle w:val="8"/>
        <w:ind w:firstLine="562" w:firstLineChars="200"/>
        <w:rPr>
          <w:rFonts w:cs="方正仿宋简体" w:asciiTheme="minorEastAsia" w:hAnsiTheme="minorEastAsia" w:eastAsiaTheme="minorEastAsia"/>
          <w:b w:val="0"/>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案例：</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消费者陈先生于2023年8月14日到四川省保护消费者权益委员会投诉在某平台花320元购买一双运动鞋的码数不标准，陈先生在收货当日发现鞋子码数的问题后便完成退货，物流也在检查好商品和包装后退货并极速退款。8月8日消费者接到短信提示商家以包装破损为由拒绝退货退款。经调解，商家同意履行七日无理由退货义务为消费者退货退款。</w:t>
      </w:r>
    </w:p>
    <w:p>
      <w:pPr>
        <w:spacing w:line="576" w:lineRule="exact"/>
        <w:rPr>
          <w:rFonts w:cs="方正仿宋简体" w:asciiTheme="minorEastAsia" w:hAnsiTheme="minorEastAsia" w:eastAsiaTheme="minorEastAsia"/>
          <w:color w:val="000000" w:themeColor="text1"/>
          <w:sz w:val="28"/>
          <w:szCs w:val="28"/>
          <w:lang w:bidi="ar"/>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w:t>
      </w:r>
      <w:r>
        <w:rPr>
          <w:rFonts w:hint="eastAsia" w:cs="方正仿宋简体" w:asciiTheme="minorEastAsia" w:hAnsiTheme="minorEastAsia" w:eastAsiaTheme="minorEastAsia"/>
          <w:b/>
          <w:bCs/>
          <w:color w:val="000000" w:themeColor="text1"/>
          <w:sz w:val="28"/>
          <w:szCs w:val="28"/>
          <w14:textFill>
            <w14:solidFill>
              <w14:schemeClr w14:val="tx1"/>
            </w14:solidFill>
          </w14:textFill>
        </w:rPr>
        <w:t>消委建议：</w:t>
      </w:r>
      <w:r>
        <w:rPr>
          <w:rFonts w:hint="eastAsia" w:cs="方正仿宋简体" w:asciiTheme="minorEastAsia" w:hAnsiTheme="minorEastAsia" w:eastAsiaTheme="minorEastAsia"/>
          <w:color w:val="000000" w:themeColor="text1"/>
          <w:sz w:val="28"/>
          <w:szCs w:val="28"/>
          <w:lang w:bidi="ar"/>
          <w14:textFill>
            <w14:solidFill>
              <w14:schemeClr w14:val="tx1"/>
            </w14:solidFill>
          </w14:textFill>
        </w:rPr>
        <w:t>规范售后服务是扩大居民消费的有效途径，是使居民没有后顾之忧主动消费的有力保障。在当今高度竞争的市场环境下，高质量的售后服务不仅能够满足消费者的需求和期望，还可以提升消费者满意度和忠诚度，提振消费信心，提高经营收益和市场份额。企业应该积极响应消费投诉，采取措施改进售后服务质量，提高企业的自律意识和服务质量，切实保障消费者合法权益。</w:t>
      </w:r>
    </w:p>
    <w:p>
      <w:pPr>
        <w:pStyle w:val="8"/>
        <w:rPr>
          <w:rFonts w:asciiTheme="minorEastAsia" w:hAnsiTheme="minorEastAsia" w:eastAsiaTheme="minorEastAsia"/>
          <w:b w:val="0"/>
          <w:color w:val="000000" w:themeColor="text1"/>
          <w:kern w:val="0"/>
          <w:sz w:val="28"/>
          <w:szCs w:val="28"/>
          <w14:textFill>
            <w14:solidFill>
              <w14:schemeClr w14:val="tx1"/>
            </w14:solidFill>
          </w14:textFill>
        </w:rPr>
      </w:pPr>
      <w:r>
        <w:rPr>
          <w:rFonts w:hint="eastAsia" w:cs="方正楷体简体" w:asciiTheme="minorEastAsia" w:hAnsiTheme="minorEastAsia" w:eastAsiaTheme="minorEastAsia"/>
          <w:bCs/>
          <w:color w:val="000000" w:themeColor="text1"/>
          <w:sz w:val="28"/>
          <w:szCs w:val="28"/>
          <w14:textFill>
            <w14:solidFill>
              <w14:schemeClr w14:val="tx1"/>
            </w14:solidFill>
          </w14:textFill>
        </w:rPr>
        <w:t>　　（二）舌尖上的安全任重道远。</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第三季度，我省食品类投诉环比增长1.94%，高居首位。主要集中在食品质量和安全方面，投诉反映食品包装不规范、食品内出现异物、变质过期等问题，主要涉及超市、小型食品经营店以及餐饮店。产生问题的主要原因：一是经营者未加强质量控制，使用劣质原材料、不及时按期清理过期食品；二是餐饮服务卫生情况差，存在有异物的问题；三是食品标识不规范，存在误导消费者现象；四是未规范食品保存和运输，夏季天气导致食品加速变质等。</w:t>
      </w:r>
    </w:p>
    <w:p>
      <w:pPr>
        <w:pStyle w:val="8"/>
        <w:ind w:firstLine="644"/>
        <w:rPr>
          <w:rFonts w:asciiTheme="minorEastAsia" w:hAnsiTheme="minorEastAsia" w:eastAsiaTheme="minorEastAsia"/>
          <w:b w:val="0"/>
          <w:color w:val="000000" w:themeColor="text1"/>
          <w:kern w:val="0"/>
          <w:sz w:val="28"/>
          <w:szCs w:val="28"/>
          <w14:textFill>
            <w14:solidFill>
              <w14:schemeClr w14:val="tx1"/>
            </w14:solidFill>
          </w14:textFill>
        </w:rPr>
      </w:pPr>
      <w:r>
        <w:rPr>
          <w:rFonts w:hint="eastAsia" w:asciiTheme="minorEastAsia" w:hAnsiTheme="minorEastAsia" w:eastAsiaTheme="minorEastAsia"/>
          <w:bCs/>
          <w:color w:val="000000" w:themeColor="text1"/>
          <w:kern w:val="0"/>
          <w:sz w:val="28"/>
          <w:szCs w:val="28"/>
          <w14:textFill>
            <w14:solidFill>
              <w14:schemeClr w14:val="tx1"/>
            </w14:solidFill>
          </w14:textFill>
        </w:rPr>
        <w:t>案例：</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2023年6月14日，遂宁市船山区保护消费者权益委员会接到消费者陈女士投诉称，她于6月14日在城区某超市支付8.5元购买了一瓶酸奶，回家后发现所购买的酸奶已超过保质期3天，要求赔偿未果后投诉。经核实，消费者所诉情况属实。经调解，超市为消费者退货并同时给予消费者1000元赔偿。同时，船山区消委对该超市销售过期食品案件的线索诉转案后，由行政机关进行立案调查。</w:t>
      </w:r>
    </w:p>
    <w:p>
      <w:pPr>
        <w:pStyle w:val="8"/>
        <w:ind w:firstLine="562" w:firstLineChars="200"/>
        <w:rPr>
          <w:rFonts w:cs="方正仿宋简体" w:asciiTheme="minorEastAsia" w:hAnsiTheme="minorEastAsia" w:eastAsiaTheme="minorEastAsia"/>
          <w:b w:val="0"/>
          <w:color w:val="000000" w:themeColor="text1"/>
          <w:kern w:val="0"/>
          <w:sz w:val="28"/>
          <w:szCs w:val="28"/>
          <w14:textFill>
            <w14:solidFill>
              <w14:schemeClr w14:val="tx1"/>
            </w14:solidFill>
          </w14:textFill>
        </w:rPr>
      </w:pPr>
      <w:r>
        <w:rPr>
          <w:rFonts w:hint="eastAsia" w:asciiTheme="minorEastAsia" w:hAnsiTheme="minorEastAsia" w:eastAsiaTheme="minorEastAsia"/>
          <w:bCs/>
          <w:color w:val="000000" w:themeColor="text1"/>
          <w:kern w:val="0"/>
          <w:sz w:val="28"/>
          <w:szCs w:val="28"/>
          <w14:textFill>
            <w14:solidFill>
              <w14:schemeClr w14:val="tx1"/>
            </w14:solidFill>
          </w14:textFill>
        </w:rPr>
        <w:t>案例：</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2023年7月17日，雅安市荥经县消费者张女士向荥经县保护消费者权益委员会投诉称，在某超市购买了一包手剥笋，回家食用时发现里面有一只苍蝇，要求依据《食品安全法》进行赔偿。经调查，消费者投诉问题属实，依法组织双方进行调解，最终该商家按照《食品安全法》第148条赔偿投诉人1000元。</w:t>
      </w:r>
    </w:p>
    <w:p>
      <w:pPr>
        <w:pStyle w:val="8"/>
        <w:ind w:firstLine="562" w:firstLineChars="200"/>
        <w:rPr>
          <w:rFonts w:cs="方正仿宋简体" w:asciiTheme="minorEastAsia" w:hAnsiTheme="minorEastAsia" w:eastAsiaTheme="minorEastAsia"/>
          <w:b w:val="0"/>
          <w:color w:val="000000" w:themeColor="text1"/>
          <w:kern w:val="0"/>
          <w:sz w:val="28"/>
          <w:szCs w:val="28"/>
          <w14:textFill>
            <w14:solidFill>
              <w14:schemeClr w14:val="tx1"/>
            </w14:solidFill>
          </w14:textFill>
        </w:rPr>
      </w:pPr>
      <w:r>
        <w:rPr>
          <w:rFonts w:hint="eastAsia" w:asciiTheme="minorEastAsia" w:hAnsiTheme="minorEastAsia" w:eastAsiaTheme="minorEastAsia"/>
          <w:bCs/>
          <w:color w:val="000000" w:themeColor="text1"/>
          <w:kern w:val="0"/>
          <w:sz w:val="28"/>
          <w:szCs w:val="28"/>
          <w14:textFill>
            <w14:solidFill>
              <w14:schemeClr w14:val="tx1"/>
            </w14:solidFill>
          </w14:textFill>
        </w:rPr>
        <w:t>消委建议：</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民以食为天，食以安为先”，舌尖上的安全问题，关乎我们每一个人的身体健康与生命安全。食品安全事关人民群众生命安全，必须守牢底线、严字当头。建议相关部门要强化食品安全监督管理，建立健全落实“两个责任”相关机制，进一步督促食品生产经营企业落实食品安全主体责任。要加强经营者诚信教育，倡导行业自律，落实惩处机制，加强源头管理。要加强食品安全教育，提高公众的食品安全知识和自我保护能力。</w:t>
      </w:r>
    </w:p>
    <w:p>
      <w:pPr>
        <w:spacing w:line="576" w:lineRule="exact"/>
        <w:rPr>
          <w:rFonts w:cs="方正仿宋简体" w:asciiTheme="minorEastAsia" w:hAnsiTheme="minorEastAsia" w:eastAsiaTheme="minorEastAsia"/>
          <w:color w:val="000000" w:themeColor="text1"/>
          <w:sz w:val="28"/>
          <w:szCs w:val="28"/>
          <w14:textFill>
            <w14:solidFill>
              <w14:schemeClr w14:val="tx1"/>
            </w14:solidFill>
          </w14:textFill>
        </w:rPr>
      </w:pPr>
      <w:r>
        <w:rPr>
          <w:rFonts w:hint="eastAsia" w:cs="方正楷体简体" w:asciiTheme="minorEastAsia" w:hAnsiTheme="minorEastAsia" w:eastAsiaTheme="minorEastAsia"/>
          <w:b/>
          <w:bCs/>
          <w:color w:val="000000" w:themeColor="text1"/>
          <w:sz w:val="28"/>
          <w:szCs w:val="28"/>
          <w14:textFill>
            <w14:solidFill>
              <w14:schemeClr w14:val="tx1"/>
            </w14:solidFill>
          </w14:textFill>
        </w:rPr>
        <w:t>　　（三）网络购物问题多发。</w:t>
      </w:r>
      <w:r>
        <w:rPr>
          <w:rFonts w:hint="eastAsia" w:cs="方正仿宋简体" w:asciiTheme="minorEastAsia" w:hAnsiTheme="minorEastAsia" w:eastAsiaTheme="minorEastAsia"/>
          <w:color w:val="000000" w:themeColor="text1"/>
          <w:kern w:val="0"/>
          <w:sz w:val="28"/>
          <w:szCs w:val="28"/>
          <w14:textFill>
            <w14:solidFill>
              <w14:schemeClr w14:val="tx1"/>
            </w14:solidFill>
          </w14:textFill>
        </w:rPr>
        <w:t>随着平台经济的发展，网络购物呈多形态发展，视频直播、小程序团购、网络平台、朋友圈带货等新兴消费业态蓬勃发展，产生的投诉问题不断增多。主要有以下方面</w:t>
      </w:r>
      <w:r>
        <w:rPr>
          <w:rFonts w:hint="eastAsia" w:cs="方正仿宋简体" w:asciiTheme="minorEastAsia" w:hAnsiTheme="minorEastAsia" w:eastAsiaTheme="minorEastAsia"/>
          <w:color w:val="000000" w:themeColor="text1"/>
          <w:sz w:val="28"/>
          <w:szCs w:val="28"/>
          <w14:textFill>
            <w14:solidFill>
              <w14:schemeClr w14:val="tx1"/>
            </w14:solidFill>
          </w14:textFill>
        </w:rPr>
        <w:t>：一是商品质量良莠不齐，以次充好、假冒伪劣等问题仍是投诉重点；二是虚假宣传，夸大甚至虚构部分产品的功效或发布虚假商品信息，误导消费者；三是格式合同条款免除自身责任，加重消费义务，增大消费者的维权成本；四是商家和平台相互推诿售后责任，网购商品售后服务投诉激增；五是未成年人网络服务问题多发，未经监护人同意进行大额直播打赏、游戏充值造成财产损失。</w:t>
      </w:r>
    </w:p>
    <w:p>
      <w:pPr>
        <w:pStyle w:val="8"/>
        <w:ind w:firstLine="562" w:firstLineChars="200"/>
        <w:rPr>
          <w:rFonts w:cs="方正仿宋简体" w:asciiTheme="minorEastAsia" w:hAnsiTheme="minorEastAsia" w:eastAsiaTheme="minorEastAsia"/>
          <w:b w:val="0"/>
          <w:color w:val="000000" w:themeColor="text1"/>
          <w:kern w:val="0"/>
          <w:sz w:val="28"/>
          <w:szCs w:val="28"/>
          <w14:textFill>
            <w14:solidFill>
              <w14:schemeClr w14:val="tx1"/>
            </w14:solidFill>
          </w14:textFill>
        </w:rPr>
      </w:pPr>
      <w:r>
        <w:rPr>
          <w:rFonts w:hint="eastAsia" w:cs="宋体" w:asciiTheme="minorEastAsia" w:hAnsiTheme="minorEastAsia" w:eastAsiaTheme="minorEastAsia"/>
          <w:bCs/>
          <w:color w:val="000000" w:themeColor="text1"/>
          <w:sz w:val="28"/>
          <w:szCs w:val="28"/>
          <w14:textFill>
            <w14:solidFill>
              <w14:schemeClr w14:val="tx1"/>
            </w14:solidFill>
          </w14:textFill>
        </w:rPr>
        <w:t>案例</w:t>
      </w:r>
      <w:r>
        <w:rPr>
          <w:rFonts w:hint="eastAsia" w:asciiTheme="minorEastAsia" w:hAnsiTheme="minorEastAsia" w:eastAsiaTheme="minorEastAsia"/>
          <w:b w:val="0"/>
          <w:color w:val="000000" w:themeColor="text1"/>
          <w:kern w:val="0"/>
          <w:sz w:val="28"/>
          <w:szCs w:val="28"/>
          <w14:textFill>
            <w14:solidFill>
              <w14:schemeClr w14:val="tx1"/>
            </w14:solidFill>
          </w14:textFill>
        </w:rPr>
        <w:t>：</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2023年7月28日，11岁少年彭某某因假期贪玩在未取得监护人同意的情况下，擅自使用父亲身份信息进行实名认证后从6月1日至22日在北京某某互动科技有限公司经营的游戏平台先后78次共消费5131.64元。其父亲联系北京某某科技有限公司后，公司以其提供资料不全等为由拒绝退款。经资阳市乐至县保护消费者权益委员会同相关部门帮助消费者调取相关证据后，经多次协商双方达成和解，公司退还4098.4元，消费者表示满意。</w:t>
      </w:r>
    </w:p>
    <w:p>
      <w:pPr>
        <w:pStyle w:val="8"/>
        <w:ind w:firstLine="562" w:firstLineChars="200"/>
        <w:rPr>
          <w:rFonts w:asciiTheme="minorEastAsia" w:hAnsiTheme="minorEastAsia" w:eastAsiaTheme="minorEastAsia"/>
          <w:b w:val="0"/>
          <w:color w:val="000000" w:themeColor="text1"/>
          <w:kern w:val="0"/>
          <w:sz w:val="28"/>
          <w:szCs w:val="28"/>
          <w14:textFill>
            <w14:solidFill>
              <w14:schemeClr w14:val="tx1"/>
            </w14:solidFill>
          </w14:textFill>
        </w:rPr>
      </w:pPr>
      <w:r>
        <w:rPr>
          <w:rFonts w:hint="eastAsia" w:asciiTheme="minorEastAsia" w:hAnsiTheme="minorEastAsia" w:eastAsiaTheme="minorEastAsia"/>
          <w:bCs/>
          <w:color w:val="000000" w:themeColor="text1"/>
          <w:kern w:val="0"/>
          <w:sz w:val="28"/>
          <w:szCs w:val="28"/>
          <w14:textFill>
            <w14:solidFill>
              <w14:schemeClr w14:val="tx1"/>
            </w14:solidFill>
          </w14:textFill>
        </w:rPr>
        <w:t>案例：</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2023年8月1日，消费者夏先生向绵阳市平武县保护消费者权益委员会投诉在某商城下单14999元购买某品牌手机一部，并支付成功。可是，当两周过去了后，商家仍不予发货。商家称因上货时误操作导致将无货的产品发布出来，无法履行交货义务。经调解，商家认识到了自身应承担的违约责任，与消费者达成了撤销订单和赔偿消费者1000元的和解意见。</w:t>
      </w:r>
    </w:p>
    <w:p>
      <w:pPr>
        <w:pStyle w:val="8"/>
        <w:ind w:firstLine="562" w:firstLineChars="200"/>
        <w:rPr>
          <w:rFonts w:cs="方正仿宋简体" w:asciiTheme="minorEastAsia" w:hAnsiTheme="minorEastAsia" w:eastAsiaTheme="minorEastAsia"/>
          <w:b w:val="0"/>
          <w:color w:val="000000" w:themeColor="text1"/>
          <w:kern w:val="0"/>
          <w:sz w:val="28"/>
          <w:szCs w:val="28"/>
          <w14:textFill>
            <w14:solidFill>
              <w14:schemeClr w14:val="tx1"/>
            </w14:solidFill>
          </w14:textFill>
        </w:rPr>
      </w:pPr>
      <w:r>
        <w:rPr>
          <w:rFonts w:hint="eastAsia" w:asciiTheme="minorEastAsia" w:hAnsiTheme="minorEastAsia" w:eastAsiaTheme="minorEastAsia"/>
          <w:bCs/>
          <w:color w:val="000000" w:themeColor="text1"/>
          <w:kern w:val="0"/>
          <w:sz w:val="28"/>
          <w:szCs w:val="28"/>
          <w14:textFill>
            <w14:solidFill>
              <w14:schemeClr w14:val="tx1"/>
            </w14:solidFill>
          </w14:textFill>
        </w:rPr>
        <w:t>消委建议</w:t>
      </w:r>
      <w:r>
        <w:rPr>
          <w:rFonts w:hint="eastAsia" w:asciiTheme="minorEastAsia" w:hAnsiTheme="minorEastAsia" w:eastAsiaTheme="minorEastAsia"/>
          <w:b w:val="0"/>
          <w:color w:val="000000" w:themeColor="text1"/>
          <w:kern w:val="0"/>
          <w:sz w:val="28"/>
          <w:szCs w:val="28"/>
          <w14:textFill>
            <w14:solidFill>
              <w14:schemeClr w14:val="tx1"/>
            </w14:solidFill>
          </w14:textFill>
        </w:rPr>
        <w:t>：</w:t>
      </w:r>
      <w:r>
        <w:rPr>
          <w:rFonts w:hint="eastAsia" w:cs="方正仿宋简体" w:asciiTheme="minorEastAsia" w:hAnsiTheme="minorEastAsia" w:eastAsiaTheme="minorEastAsia"/>
          <w:b w:val="0"/>
          <w:color w:val="000000" w:themeColor="text1"/>
          <w:kern w:val="0"/>
          <w:sz w:val="28"/>
          <w:szCs w:val="28"/>
          <w14:textFill>
            <w14:solidFill>
              <w14:schemeClr w14:val="tx1"/>
            </w14:solidFill>
          </w14:textFill>
        </w:rPr>
        <w:t>《中华人民共和国电子商务法》第四十九条规定，电子商务经营者发布的商品或者服务信息符合要约条件的，用户选择该商品或者服务并提交订单成功，合同成立。当事人另有约定的，从其约定。电子商务经营者不得以格式条款等方式约定消费者支付价款后合同不成立；格式条款等含有该内容的，其内容无效。商家应树立诚信经营意识，不能以“秒杀”“爆款”等方式吸引流量后，又以系统错误、特别条款约定来免除自己的商品交付义务和违约责任的承担。</w:t>
      </w:r>
    </w:p>
    <w:p>
      <w:pPr>
        <w:pStyle w:val="14"/>
        <w:widowControl/>
        <w:spacing w:beforeAutospacing="0" w:afterAutospacing="0"/>
        <w:rPr>
          <w:rFonts w:cs="方正仿宋简体" w:asciiTheme="minorEastAsia" w:hAnsiTheme="minorEastAsia" w:eastAsiaTheme="minorEastAsia"/>
          <w:color w:val="000000" w:themeColor="text1"/>
          <w:sz w:val="28"/>
          <w:szCs w:val="28"/>
          <w14:textFill>
            <w14:solidFill>
              <w14:schemeClr w14:val="tx1"/>
            </w14:solidFill>
          </w14:textFill>
        </w:rPr>
      </w:pPr>
      <w:r>
        <w:rPr>
          <w:rFonts w:hint="eastAsia" w:cs="方正楷体简体" w:asciiTheme="minorEastAsia" w:hAnsiTheme="minorEastAsia" w:eastAsiaTheme="minorEastAsia"/>
          <w:b/>
          <w:bCs/>
          <w:color w:val="000000" w:themeColor="text1"/>
          <w:sz w:val="28"/>
          <w:szCs w:val="28"/>
          <w14:textFill>
            <w14:solidFill>
              <w14:schemeClr w14:val="tx1"/>
            </w14:solidFill>
          </w14:textFill>
        </w:rPr>
        <w:t>　　（四）合同争议问题凸显。</w:t>
      </w:r>
      <w:r>
        <w:rPr>
          <w:rFonts w:hint="eastAsia" w:cs="方正仿宋简体" w:asciiTheme="minorEastAsia" w:hAnsiTheme="minorEastAsia" w:eastAsiaTheme="minorEastAsia"/>
          <w:color w:val="000000" w:themeColor="text1"/>
          <w:sz w:val="28"/>
          <w:szCs w:val="28"/>
          <w14:textFill>
            <w14:solidFill>
              <w14:schemeClr w14:val="tx1"/>
            </w14:solidFill>
          </w14:textFill>
        </w:rPr>
        <w:t>消费者在进行消费时常因格式合同冗长难懂未仔细的研读，发生争议时才发现重要事项未约定或书面约定与口头宣传不一致、违约责任不公平、加重消费者责任等问题引发消费争议。格式合同是经营者预先设定、反复适用的条款，经营者常以公司统一适用不能修改等为由拒绝协商合同条款，也会出现对影响消费者重大权益的条款未作有效告知，导致双方对合同理解不一致引发投诉。</w:t>
      </w:r>
    </w:p>
    <w:p>
      <w:pPr>
        <w:pStyle w:val="14"/>
        <w:widowControl/>
        <w:wordWrap w:val="0"/>
        <w:spacing w:beforeAutospacing="0" w:afterAutospacing="0"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Style w:val="31"/>
          <w:rFonts w:hint="eastAsia" w:cs="仿宋" w:asciiTheme="minorEastAsia" w:hAnsiTheme="minorEastAsia" w:eastAsiaTheme="minorEastAsia"/>
          <w:b/>
          <w:bCs/>
          <w:color w:val="000000" w:themeColor="text1"/>
          <w:kern w:val="2"/>
          <w:sz w:val="28"/>
          <w:szCs w:val="28"/>
          <w14:textFill>
            <w14:solidFill>
              <w14:schemeClr w14:val="tx1"/>
            </w14:solidFill>
          </w14:textFill>
        </w:rPr>
        <w:t>案例：</w:t>
      </w:r>
      <w:r>
        <w:rPr>
          <w:rFonts w:hint="eastAsia" w:cs="方正仿宋简体" w:asciiTheme="minorEastAsia" w:hAnsiTheme="minorEastAsia" w:eastAsiaTheme="minorEastAsia"/>
          <w:color w:val="000000" w:themeColor="text1"/>
          <w:sz w:val="28"/>
          <w:szCs w:val="28"/>
          <w14:textFill>
            <w14:solidFill>
              <w14:schemeClr w14:val="tx1"/>
            </w14:solidFill>
          </w14:textFill>
        </w:rPr>
        <w:t>2023年8月21日，严先生向宜宾市保护消费者权益委员会三江新区分会投诉称，在某汽车销售服务有限公司交纳了20000元订金订购了一辆家用汽车，但商家迟迟不能交车，要求退订金被拒。经核实，双方签订了《汽车销售合同》，但没有约定具体的交车时间，而因厂家的原因无法确定准确交车时间。经调解，商家同意退还消费者20000元购车订金。</w:t>
      </w:r>
    </w:p>
    <w:p>
      <w:pPr>
        <w:pStyle w:val="14"/>
        <w:widowControl/>
        <w:wordWrap w:val="0"/>
        <w:spacing w:beforeAutospacing="0" w:afterAutospacing="0" w:line="560" w:lineRule="exact"/>
        <w:ind w:firstLine="562" w:firstLineChars="200"/>
        <w:rPr>
          <w:rFonts w:cs="方正仿宋简体"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案例：</w:t>
      </w:r>
      <w:r>
        <w:rPr>
          <w:rFonts w:hint="eastAsia" w:cs="方正仿宋简体" w:asciiTheme="minorEastAsia" w:hAnsiTheme="minorEastAsia" w:eastAsiaTheme="minorEastAsia"/>
          <w:color w:val="000000" w:themeColor="text1"/>
          <w:sz w:val="28"/>
          <w:szCs w:val="28"/>
          <w14:textFill>
            <w14:solidFill>
              <w14:schemeClr w14:val="tx1"/>
            </w14:solidFill>
          </w14:textFill>
        </w:rPr>
        <w:t>德阳绵竹市保护消费者权益委员会2023年6月20日接到消费者王女士投诉称与绵竹市某婚庆公司签订摄影服务合同，并支付1000元订金，订购了婚礼当天的摄影服务。但商家未按合同约定如期交付录像，在消费者询问下才告知婚礼当天的录像已经丢失。因婚礼录像有其特殊的纪念意义，经消委调解后，经营者退还消费者支付价款并赔偿消费者损失，合计4000元。</w:t>
      </w:r>
    </w:p>
    <w:p>
      <w:pPr>
        <w:pStyle w:val="14"/>
        <w:widowControl/>
        <w:wordWrap w:val="0"/>
        <w:spacing w:beforeAutospacing="0" w:afterAutospacing="0" w:line="560" w:lineRule="exact"/>
        <w:ind w:firstLine="562" w:firstLineChars="200"/>
        <w:rPr>
          <w:rFonts w:cs="方正仿宋简体"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消委建议：</w:t>
      </w:r>
      <w:r>
        <w:rPr>
          <w:rFonts w:hint="eastAsia" w:cs="方正仿宋简体" w:asciiTheme="minorEastAsia" w:hAnsiTheme="minorEastAsia" w:eastAsiaTheme="minorEastAsia"/>
          <w:color w:val="000000" w:themeColor="text1"/>
          <w:sz w:val="28"/>
          <w:szCs w:val="28"/>
          <w14:textFill>
            <w14:solidFill>
              <w14:schemeClr w14:val="tx1"/>
            </w14:solidFill>
          </w14:textFill>
        </w:rPr>
        <w:t>经营者应当遵循公平、诚信原则设定合同内容，同时应采用合理的方式提醒消费者注意免除或者减轻对方责任等与消费者有重大责任关系的条款，并对该条款予以说明。建议消费者在签订合同时要认真的审查合同内容，关注合同重要事项是否约定清楚，明确违约责任承担方式，以便发生争议后能及时有效维权。</w:t>
      </w:r>
    </w:p>
    <w:p>
      <w:pPr>
        <w:pStyle w:val="14"/>
        <w:widowControl/>
        <w:wordWrap w:val="0"/>
        <w:spacing w:beforeAutospacing="0" w:afterAutospacing="0" w:line="560" w:lineRule="exact"/>
        <w:ind w:firstLine="560" w:firstLineChars="200"/>
        <w:rPr>
          <w:rFonts w:cs="方正仿宋简体" w:asciiTheme="minorEastAsia" w:hAnsiTheme="minorEastAsia" w:eastAsiaTheme="minorEastAsia"/>
          <w:color w:val="000000" w:themeColor="text1"/>
          <w:sz w:val="28"/>
          <w:szCs w:val="28"/>
          <w14:textFill>
            <w14:solidFill>
              <w14:schemeClr w14:val="tx1"/>
            </w14:solidFill>
          </w14:textFill>
        </w:rPr>
      </w:pPr>
    </w:p>
    <w:p>
      <w:pPr>
        <w:pStyle w:val="14"/>
        <w:widowControl/>
        <w:wordWrap w:val="0"/>
        <w:spacing w:beforeAutospacing="0" w:afterAutospacing="0" w:line="560" w:lineRule="exact"/>
        <w:ind w:firstLine="560" w:firstLineChars="200"/>
        <w:rPr>
          <w:rFonts w:cs="方正仿宋简体" w:asciiTheme="minorEastAsia" w:hAnsiTheme="minorEastAsia" w:eastAsiaTheme="minorEastAsia"/>
          <w:color w:val="000000" w:themeColor="text1"/>
          <w:sz w:val="28"/>
          <w:szCs w:val="28"/>
          <w14:textFill>
            <w14:solidFill>
              <w14:schemeClr w14:val="tx1"/>
            </w14:solidFill>
          </w14:textFill>
        </w:rPr>
      </w:pPr>
    </w:p>
    <w:p>
      <w:pPr>
        <w:pStyle w:val="8"/>
        <w:rPr>
          <w:rFonts w:cs="方正仿宋简体" w:asciiTheme="minorEastAsia" w:hAnsiTheme="minorEastAsia" w:eastAsiaTheme="minorEastAsia"/>
          <w:color w:val="000000" w:themeColor="text1"/>
          <w:sz w:val="28"/>
          <w:szCs w:val="28"/>
          <w14:textFill>
            <w14:solidFill>
              <w14:schemeClr w14:val="tx1"/>
            </w14:solidFill>
          </w14:textFill>
        </w:rPr>
      </w:pPr>
    </w:p>
    <w:p>
      <w:pPr>
        <w:rPr>
          <w:rFonts w:cs="方正仿宋简体" w:asciiTheme="minorEastAsia" w:hAnsiTheme="minorEastAsia" w:eastAsiaTheme="minorEastAsia"/>
          <w:b/>
          <w:bCs/>
          <w:color w:val="000000" w:themeColor="text1"/>
          <w:sz w:val="28"/>
          <w:szCs w:val="28"/>
          <w14:textFill>
            <w14:solidFill>
              <w14:schemeClr w14:val="tx1"/>
            </w14:solidFill>
          </w14:textFill>
        </w:rPr>
      </w:pPr>
      <w:r>
        <w:rPr>
          <w:rFonts w:hint="eastAsia" w:cs="方正仿宋简体" w:asciiTheme="minorEastAsia" w:hAnsiTheme="minorEastAsia" w:eastAsiaTheme="minorEastAsia"/>
          <w:color w:val="000000" w:themeColor="text1"/>
          <w:sz w:val="28"/>
          <w:szCs w:val="28"/>
          <w14:textFill>
            <w14:solidFill>
              <w14:schemeClr w14:val="tx1"/>
            </w14:solidFill>
          </w14:textFill>
        </w:rPr>
        <w:t xml:space="preserve">                                      安博 记者 高杨曦</w:t>
      </w:r>
    </w:p>
    <w:p>
      <w:pPr>
        <w:pStyle w:val="8"/>
        <w:rPr>
          <w:rFonts w:cs="方正仿宋简体" w:asciiTheme="minorEastAsia" w:hAnsiTheme="minorEastAsia" w:eastAsiaTheme="minorEastAsia"/>
          <w:b w:val="0"/>
          <w:bCs/>
          <w:color w:val="000000" w:themeColor="text1"/>
          <w:sz w:val="28"/>
          <w:szCs w:val="28"/>
          <w14:textFill>
            <w14:solidFill>
              <w14:schemeClr w14:val="tx1"/>
            </w14:solidFill>
          </w14:textFill>
        </w:rPr>
      </w:pPr>
    </w:p>
    <w:sectPr>
      <w:footerReference r:id="rId3" w:type="default"/>
      <w:footerReference r:id="rId4" w:type="even"/>
      <w:pgSz w:w="11906" w:h="16838"/>
      <w:pgMar w:top="1440" w:right="1466" w:bottom="1440" w:left="174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简体">
    <w:panose1 w:val="02000000000000000000"/>
    <w:charset w:val="86"/>
    <w:family w:val="auto"/>
    <w:pitch w:val="default"/>
    <w:sig w:usb0="A00002BF" w:usb1="184F6CFA" w:usb2="00000012" w:usb3="00000000" w:csb0="00040001" w:csb1="00000000"/>
    <w:embedRegular r:id="rId1" w:fontKey="{940260E6-9AAD-497B-AAF2-D253B6F2A4C7}"/>
  </w:font>
  <w:font w:name="小标宋">
    <w:altName w:val="宋体"/>
    <w:panose1 w:val="00000000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A1C87AAC-D05A-4275-8289-F1BD3B4C2E47}"/>
  </w:font>
  <w:font w:name="仿宋">
    <w:panose1 w:val="02010609060101010101"/>
    <w:charset w:val="86"/>
    <w:family w:val="modern"/>
    <w:pitch w:val="default"/>
    <w:sig w:usb0="800002BF" w:usb1="38CF7CFA" w:usb2="00000016" w:usb3="00000000" w:csb0="00040001" w:csb1="00000000"/>
    <w:embedRegular r:id="rId3" w:fontKey="{D67FA7DC-4302-4838-96BD-305A5608F365}"/>
  </w:font>
  <w:font w:name="方正黑体简体">
    <w:panose1 w:val="02000000000000000000"/>
    <w:charset w:val="86"/>
    <w:family w:val="auto"/>
    <w:pitch w:val="default"/>
    <w:sig w:usb0="A00002BF" w:usb1="184F6CFA" w:usb2="00000012" w:usb3="00000000" w:csb0="00040001" w:csb1="00000000"/>
    <w:embedRegular r:id="rId4" w:fontKey="{3EB73548-6756-4443-B455-F985CFE26CE7}"/>
  </w:font>
  <w:font w:name="方正楷体简体">
    <w:panose1 w:val="02000000000000000000"/>
    <w:charset w:val="86"/>
    <w:family w:val="auto"/>
    <w:pitch w:val="default"/>
    <w:sig w:usb0="A00002BF" w:usb1="184F6CFA" w:usb2="00000012" w:usb3="00000000" w:csb0="00040001" w:csb1="00000000"/>
    <w:embedRegular r:id="rId5" w:fontKey="{6C0F45AB-2129-4F05-A734-A7C14620E14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6849056"/>
    </w:sdtPr>
    <w:sdtEndPr>
      <w:rPr>
        <w:sz w:val="32"/>
        <w:szCs w:val="32"/>
      </w:rPr>
    </w:sdtEndPr>
    <w:sdtContent>
      <w:p>
        <w:pPr>
          <w:pStyle w:val="11"/>
          <w:jc w:val="right"/>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w:t>
        </w:r>
        <w:r>
          <w:rPr>
            <w:sz w:val="32"/>
            <w:szCs w:val="32"/>
          </w:rPr>
          <w:t xml:space="preserve"> 17 -</w:t>
        </w:r>
        <w:r>
          <w:rPr>
            <w:sz w:val="32"/>
            <w:szCs w:val="32"/>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26D9"/>
    <w:multiLevelType w:val="multilevel"/>
    <w:tmpl w:val="37BE26D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87224C"/>
    <w:rsid w:val="000010CC"/>
    <w:rsid w:val="00002C3D"/>
    <w:rsid w:val="00007E5A"/>
    <w:rsid w:val="00007EBA"/>
    <w:rsid w:val="00020E7B"/>
    <w:rsid w:val="00023707"/>
    <w:rsid w:val="000259CA"/>
    <w:rsid w:val="00027FD1"/>
    <w:rsid w:val="00032979"/>
    <w:rsid w:val="00035DEF"/>
    <w:rsid w:val="000415E7"/>
    <w:rsid w:val="00041E6A"/>
    <w:rsid w:val="00043869"/>
    <w:rsid w:val="00045722"/>
    <w:rsid w:val="00045A81"/>
    <w:rsid w:val="00047D2D"/>
    <w:rsid w:val="00050857"/>
    <w:rsid w:val="0005089E"/>
    <w:rsid w:val="000518D5"/>
    <w:rsid w:val="000524D0"/>
    <w:rsid w:val="00052BC2"/>
    <w:rsid w:val="00061A2D"/>
    <w:rsid w:val="0007232F"/>
    <w:rsid w:val="000732AD"/>
    <w:rsid w:val="0008626B"/>
    <w:rsid w:val="00086B12"/>
    <w:rsid w:val="000924A4"/>
    <w:rsid w:val="00093FEE"/>
    <w:rsid w:val="000964F5"/>
    <w:rsid w:val="000A1C0F"/>
    <w:rsid w:val="000A2B56"/>
    <w:rsid w:val="000A733A"/>
    <w:rsid w:val="000A78C5"/>
    <w:rsid w:val="000B0214"/>
    <w:rsid w:val="000B0B12"/>
    <w:rsid w:val="000B114A"/>
    <w:rsid w:val="000B1CC9"/>
    <w:rsid w:val="000B4569"/>
    <w:rsid w:val="000B6607"/>
    <w:rsid w:val="000C11F9"/>
    <w:rsid w:val="000C29CA"/>
    <w:rsid w:val="000C3AC6"/>
    <w:rsid w:val="000C3CF4"/>
    <w:rsid w:val="000C44D3"/>
    <w:rsid w:val="000C5814"/>
    <w:rsid w:val="000C60D9"/>
    <w:rsid w:val="000C7FE7"/>
    <w:rsid w:val="000D416C"/>
    <w:rsid w:val="000E05CC"/>
    <w:rsid w:val="000E247D"/>
    <w:rsid w:val="000E6682"/>
    <w:rsid w:val="000E7BD6"/>
    <w:rsid w:val="000F02E1"/>
    <w:rsid w:val="000F5836"/>
    <w:rsid w:val="000F6576"/>
    <w:rsid w:val="000F6582"/>
    <w:rsid w:val="000F750F"/>
    <w:rsid w:val="000F7534"/>
    <w:rsid w:val="0010117A"/>
    <w:rsid w:val="00111E67"/>
    <w:rsid w:val="00113D00"/>
    <w:rsid w:val="00121C35"/>
    <w:rsid w:val="0013519B"/>
    <w:rsid w:val="0013559A"/>
    <w:rsid w:val="001368E5"/>
    <w:rsid w:val="00136903"/>
    <w:rsid w:val="00136CAB"/>
    <w:rsid w:val="0014218F"/>
    <w:rsid w:val="00144BC3"/>
    <w:rsid w:val="001534A6"/>
    <w:rsid w:val="00154047"/>
    <w:rsid w:val="00155C51"/>
    <w:rsid w:val="001573D4"/>
    <w:rsid w:val="00160584"/>
    <w:rsid w:val="00161BC8"/>
    <w:rsid w:val="00163D0B"/>
    <w:rsid w:val="001710D0"/>
    <w:rsid w:val="00171A21"/>
    <w:rsid w:val="00172204"/>
    <w:rsid w:val="00172852"/>
    <w:rsid w:val="001748B5"/>
    <w:rsid w:val="00177B44"/>
    <w:rsid w:val="00180C98"/>
    <w:rsid w:val="0018342E"/>
    <w:rsid w:val="001846D0"/>
    <w:rsid w:val="00194E43"/>
    <w:rsid w:val="001A45EB"/>
    <w:rsid w:val="001A4EDC"/>
    <w:rsid w:val="001B204E"/>
    <w:rsid w:val="001B2846"/>
    <w:rsid w:val="001B3E0A"/>
    <w:rsid w:val="001B4F73"/>
    <w:rsid w:val="001B6AF7"/>
    <w:rsid w:val="001C1AD5"/>
    <w:rsid w:val="001C3CCA"/>
    <w:rsid w:val="001C707A"/>
    <w:rsid w:val="001C7C1C"/>
    <w:rsid w:val="001E16A4"/>
    <w:rsid w:val="001E18BE"/>
    <w:rsid w:val="001E1ABC"/>
    <w:rsid w:val="001E669B"/>
    <w:rsid w:val="001F05EA"/>
    <w:rsid w:val="001F4341"/>
    <w:rsid w:val="00200D8D"/>
    <w:rsid w:val="00202EFE"/>
    <w:rsid w:val="0021153F"/>
    <w:rsid w:val="00213840"/>
    <w:rsid w:val="00214AAF"/>
    <w:rsid w:val="002160EC"/>
    <w:rsid w:val="002172EC"/>
    <w:rsid w:val="00217BF3"/>
    <w:rsid w:val="00224431"/>
    <w:rsid w:val="00230AD2"/>
    <w:rsid w:val="00230AED"/>
    <w:rsid w:val="00230BEC"/>
    <w:rsid w:val="00233797"/>
    <w:rsid w:val="00233B80"/>
    <w:rsid w:val="00242083"/>
    <w:rsid w:val="00242CAF"/>
    <w:rsid w:val="002437AF"/>
    <w:rsid w:val="00247C36"/>
    <w:rsid w:val="00250933"/>
    <w:rsid w:val="00252791"/>
    <w:rsid w:val="0025468D"/>
    <w:rsid w:val="002549DD"/>
    <w:rsid w:val="00254B55"/>
    <w:rsid w:val="002606F4"/>
    <w:rsid w:val="00260791"/>
    <w:rsid w:val="00262248"/>
    <w:rsid w:val="00263E00"/>
    <w:rsid w:val="00270053"/>
    <w:rsid w:val="00272FC0"/>
    <w:rsid w:val="00273086"/>
    <w:rsid w:val="00282347"/>
    <w:rsid w:val="002869B9"/>
    <w:rsid w:val="00291F16"/>
    <w:rsid w:val="00294994"/>
    <w:rsid w:val="002962BC"/>
    <w:rsid w:val="002A3AD2"/>
    <w:rsid w:val="002A4CED"/>
    <w:rsid w:val="002A633E"/>
    <w:rsid w:val="002A7F11"/>
    <w:rsid w:val="002B53ED"/>
    <w:rsid w:val="002B56CE"/>
    <w:rsid w:val="002C20A5"/>
    <w:rsid w:val="002C52E7"/>
    <w:rsid w:val="002C606E"/>
    <w:rsid w:val="002C6621"/>
    <w:rsid w:val="002D6E1D"/>
    <w:rsid w:val="002E09E6"/>
    <w:rsid w:val="002F091C"/>
    <w:rsid w:val="002F26D6"/>
    <w:rsid w:val="002F522C"/>
    <w:rsid w:val="002F5D3B"/>
    <w:rsid w:val="00303C66"/>
    <w:rsid w:val="003040A0"/>
    <w:rsid w:val="0030511F"/>
    <w:rsid w:val="00310873"/>
    <w:rsid w:val="003118A3"/>
    <w:rsid w:val="00311EF1"/>
    <w:rsid w:val="00313706"/>
    <w:rsid w:val="003158FF"/>
    <w:rsid w:val="00315BC1"/>
    <w:rsid w:val="00316A1B"/>
    <w:rsid w:val="003200C2"/>
    <w:rsid w:val="00321267"/>
    <w:rsid w:val="0032181B"/>
    <w:rsid w:val="003249DB"/>
    <w:rsid w:val="00325DE7"/>
    <w:rsid w:val="00331696"/>
    <w:rsid w:val="00333A06"/>
    <w:rsid w:val="00336621"/>
    <w:rsid w:val="0034018A"/>
    <w:rsid w:val="00345458"/>
    <w:rsid w:val="00345F51"/>
    <w:rsid w:val="00346AD6"/>
    <w:rsid w:val="00346F85"/>
    <w:rsid w:val="00347EB2"/>
    <w:rsid w:val="00350C0B"/>
    <w:rsid w:val="003564C4"/>
    <w:rsid w:val="0036176C"/>
    <w:rsid w:val="003639A4"/>
    <w:rsid w:val="00364DAB"/>
    <w:rsid w:val="00370D91"/>
    <w:rsid w:val="00371EE2"/>
    <w:rsid w:val="0037549B"/>
    <w:rsid w:val="003764E4"/>
    <w:rsid w:val="00382EB8"/>
    <w:rsid w:val="003847E1"/>
    <w:rsid w:val="0038580A"/>
    <w:rsid w:val="00387752"/>
    <w:rsid w:val="003937B1"/>
    <w:rsid w:val="00395F0B"/>
    <w:rsid w:val="003A2348"/>
    <w:rsid w:val="003A7BD9"/>
    <w:rsid w:val="003C07DD"/>
    <w:rsid w:val="003C177F"/>
    <w:rsid w:val="003D0ED6"/>
    <w:rsid w:val="003D41C1"/>
    <w:rsid w:val="003D4BA2"/>
    <w:rsid w:val="003D623D"/>
    <w:rsid w:val="003E036F"/>
    <w:rsid w:val="003E383E"/>
    <w:rsid w:val="003F63C7"/>
    <w:rsid w:val="003F7477"/>
    <w:rsid w:val="003F75B1"/>
    <w:rsid w:val="004000EF"/>
    <w:rsid w:val="00402893"/>
    <w:rsid w:val="00405A54"/>
    <w:rsid w:val="00412B21"/>
    <w:rsid w:val="0041752D"/>
    <w:rsid w:val="00426E13"/>
    <w:rsid w:val="00427DEB"/>
    <w:rsid w:val="00440231"/>
    <w:rsid w:val="00440B16"/>
    <w:rsid w:val="00443187"/>
    <w:rsid w:val="00444755"/>
    <w:rsid w:val="004506E7"/>
    <w:rsid w:val="00452895"/>
    <w:rsid w:val="00453293"/>
    <w:rsid w:val="004542FA"/>
    <w:rsid w:val="00457D12"/>
    <w:rsid w:val="00462248"/>
    <w:rsid w:val="00463202"/>
    <w:rsid w:val="00463F48"/>
    <w:rsid w:val="004643E2"/>
    <w:rsid w:val="004731E4"/>
    <w:rsid w:val="00473E42"/>
    <w:rsid w:val="0047484E"/>
    <w:rsid w:val="00485E1B"/>
    <w:rsid w:val="0048785D"/>
    <w:rsid w:val="00492FFB"/>
    <w:rsid w:val="00495B21"/>
    <w:rsid w:val="004A0E1A"/>
    <w:rsid w:val="004A126A"/>
    <w:rsid w:val="004A2DC8"/>
    <w:rsid w:val="004A7967"/>
    <w:rsid w:val="004A7FAD"/>
    <w:rsid w:val="004B0581"/>
    <w:rsid w:val="004B21A5"/>
    <w:rsid w:val="004B323F"/>
    <w:rsid w:val="004B5DB4"/>
    <w:rsid w:val="004B646B"/>
    <w:rsid w:val="004B7908"/>
    <w:rsid w:val="004C20EC"/>
    <w:rsid w:val="004C5B65"/>
    <w:rsid w:val="004D05B7"/>
    <w:rsid w:val="004D34F4"/>
    <w:rsid w:val="004D4BD7"/>
    <w:rsid w:val="004D5C9F"/>
    <w:rsid w:val="004D74DE"/>
    <w:rsid w:val="004D7D1C"/>
    <w:rsid w:val="004E20F8"/>
    <w:rsid w:val="004E4045"/>
    <w:rsid w:val="004E5CF5"/>
    <w:rsid w:val="004E6F1F"/>
    <w:rsid w:val="004F278E"/>
    <w:rsid w:val="004F72EF"/>
    <w:rsid w:val="0050762A"/>
    <w:rsid w:val="0051067C"/>
    <w:rsid w:val="0051106A"/>
    <w:rsid w:val="00512593"/>
    <w:rsid w:val="00514E91"/>
    <w:rsid w:val="005163DD"/>
    <w:rsid w:val="005212EA"/>
    <w:rsid w:val="005265AA"/>
    <w:rsid w:val="0053102B"/>
    <w:rsid w:val="00532201"/>
    <w:rsid w:val="00532655"/>
    <w:rsid w:val="00533C70"/>
    <w:rsid w:val="00534E47"/>
    <w:rsid w:val="005361AF"/>
    <w:rsid w:val="00543930"/>
    <w:rsid w:val="00551537"/>
    <w:rsid w:val="00554218"/>
    <w:rsid w:val="00554A50"/>
    <w:rsid w:val="00556003"/>
    <w:rsid w:val="00557E73"/>
    <w:rsid w:val="00561F2D"/>
    <w:rsid w:val="00562067"/>
    <w:rsid w:val="00566876"/>
    <w:rsid w:val="005716B6"/>
    <w:rsid w:val="00573BCD"/>
    <w:rsid w:val="00574714"/>
    <w:rsid w:val="005838BA"/>
    <w:rsid w:val="00584E36"/>
    <w:rsid w:val="00584EDC"/>
    <w:rsid w:val="00586D63"/>
    <w:rsid w:val="0059386B"/>
    <w:rsid w:val="00594901"/>
    <w:rsid w:val="00597566"/>
    <w:rsid w:val="00597B8C"/>
    <w:rsid w:val="005A30D3"/>
    <w:rsid w:val="005A5EE7"/>
    <w:rsid w:val="005B5800"/>
    <w:rsid w:val="005B6725"/>
    <w:rsid w:val="005C2D04"/>
    <w:rsid w:val="005C3A40"/>
    <w:rsid w:val="005C60F6"/>
    <w:rsid w:val="005C64CD"/>
    <w:rsid w:val="005C71C7"/>
    <w:rsid w:val="005D1C64"/>
    <w:rsid w:val="005E179D"/>
    <w:rsid w:val="005E55D8"/>
    <w:rsid w:val="005E6EE6"/>
    <w:rsid w:val="005F11FF"/>
    <w:rsid w:val="005F3212"/>
    <w:rsid w:val="005F3EAF"/>
    <w:rsid w:val="00602B99"/>
    <w:rsid w:val="00610245"/>
    <w:rsid w:val="00613127"/>
    <w:rsid w:val="006140D5"/>
    <w:rsid w:val="006145B8"/>
    <w:rsid w:val="0061598F"/>
    <w:rsid w:val="00626388"/>
    <w:rsid w:val="00627253"/>
    <w:rsid w:val="0063332C"/>
    <w:rsid w:val="00633569"/>
    <w:rsid w:val="00633980"/>
    <w:rsid w:val="00635DAD"/>
    <w:rsid w:val="00641EE2"/>
    <w:rsid w:val="00642B2F"/>
    <w:rsid w:val="00653C88"/>
    <w:rsid w:val="0065761B"/>
    <w:rsid w:val="006637C5"/>
    <w:rsid w:val="00664480"/>
    <w:rsid w:val="006706D4"/>
    <w:rsid w:val="00670D0E"/>
    <w:rsid w:val="00672DF0"/>
    <w:rsid w:val="006743CB"/>
    <w:rsid w:val="00674435"/>
    <w:rsid w:val="00674C5B"/>
    <w:rsid w:val="006759D7"/>
    <w:rsid w:val="00675FB5"/>
    <w:rsid w:val="00680803"/>
    <w:rsid w:val="00682FFD"/>
    <w:rsid w:val="00684889"/>
    <w:rsid w:val="00686026"/>
    <w:rsid w:val="006905BF"/>
    <w:rsid w:val="00692FED"/>
    <w:rsid w:val="00693EF4"/>
    <w:rsid w:val="00696A65"/>
    <w:rsid w:val="006B22C3"/>
    <w:rsid w:val="006B4A24"/>
    <w:rsid w:val="006B5388"/>
    <w:rsid w:val="006C1E1D"/>
    <w:rsid w:val="006C35D5"/>
    <w:rsid w:val="006C53A1"/>
    <w:rsid w:val="006D0BB8"/>
    <w:rsid w:val="006D5D66"/>
    <w:rsid w:val="006D759F"/>
    <w:rsid w:val="006D7FA2"/>
    <w:rsid w:val="006E09BD"/>
    <w:rsid w:val="006E0EE0"/>
    <w:rsid w:val="006E46AB"/>
    <w:rsid w:val="006F03E2"/>
    <w:rsid w:val="006F457C"/>
    <w:rsid w:val="006F48B0"/>
    <w:rsid w:val="006F4B25"/>
    <w:rsid w:val="006F665A"/>
    <w:rsid w:val="006F7E3A"/>
    <w:rsid w:val="007036CF"/>
    <w:rsid w:val="0070766D"/>
    <w:rsid w:val="007109EC"/>
    <w:rsid w:val="007118EF"/>
    <w:rsid w:val="007208B9"/>
    <w:rsid w:val="0072139F"/>
    <w:rsid w:val="00725112"/>
    <w:rsid w:val="007279EE"/>
    <w:rsid w:val="0073065B"/>
    <w:rsid w:val="00731079"/>
    <w:rsid w:val="00733E4F"/>
    <w:rsid w:val="0073507B"/>
    <w:rsid w:val="0073741B"/>
    <w:rsid w:val="00741807"/>
    <w:rsid w:val="00742921"/>
    <w:rsid w:val="00742F2A"/>
    <w:rsid w:val="00745D6B"/>
    <w:rsid w:val="0074632B"/>
    <w:rsid w:val="00751310"/>
    <w:rsid w:val="00751A2C"/>
    <w:rsid w:val="0075464B"/>
    <w:rsid w:val="007639FC"/>
    <w:rsid w:val="00766544"/>
    <w:rsid w:val="007672FB"/>
    <w:rsid w:val="00770919"/>
    <w:rsid w:val="00770C86"/>
    <w:rsid w:val="007854CD"/>
    <w:rsid w:val="0078594A"/>
    <w:rsid w:val="0078733C"/>
    <w:rsid w:val="0078748F"/>
    <w:rsid w:val="00790831"/>
    <w:rsid w:val="00796D34"/>
    <w:rsid w:val="007A3469"/>
    <w:rsid w:val="007A48D5"/>
    <w:rsid w:val="007B1498"/>
    <w:rsid w:val="007B1653"/>
    <w:rsid w:val="007B1932"/>
    <w:rsid w:val="007B2C99"/>
    <w:rsid w:val="007C2F68"/>
    <w:rsid w:val="007D1CF3"/>
    <w:rsid w:val="007D4D99"/>
    <w:rsid w:val="007D5971"/>
    <w:rsid w:val="007D6546"/>
    <w:rsid w:val="007D776C"/>
    <w:rsid w:val="007E02AD"/>
    <w:rsid w:val="007E3BED"/>
    <w:rsid w:val="007E4F4C"/>
    <w:rsid w:val="007E6805"/>
    <w:rsid w:val="007F0395"/>
    <w:rsid w:val="007F2D36"/>
    <w:rsid w:val="007F4EF7"/>
    <w:rsid w:val="007F6548"/>
    <w:rsid w:val="00804072"/>
    <w:rsid w:val="0080418B"/>
    <w:rsid w:val="008103B1"/>
    <w:rsid w:val="00813F5A"/>
    <w:rsid w:val="008143CB"/>
    <w:rsid w:val="00817014"/>
    <w:rsid w:val="00821261"/>
    <w:rsid w:val="00821650"/>
    <w:rsid w:val="00830B27"/>
    <w:rsid w:val="0083154D"/>
    <w:rsid w:val="008342B1"/>
    <w:rsid w:val="0083538D"/>
    <w:rsid w:val="00837BEF"/>
    <w:rsid w:val="00845813"/>
    <w:rsid w:val="0084763B"/>
    <w:rsid w:val="00850400"/>
    <w:rsid w:val="00852633"/>
    <w:rsid w:val="00852896"/>
    <w:rsid w:val="00866F33"/>
    <w:rsid w:val="008677F2"/>
    <w:rsid w:val="00870660"/>
    <w:rsid w:val="0087224C"/>
    <w:rsid w:val="00872F4A"/>
    <w:rsid w:val="00875A11"/>
    <w:rsid w:val="008823B9"/>
    <w:rsid w:val="008827C4"/>
    <w:rsid w:val="0088681A"/>
    <w:rsid w:val="00886F45"/>
    <w:rsid w:val="00891184"/>
    <w:rsid w:val="00897943"/>
    <w:rsid w:val="008A7CE7"/>
    <w:rsid w:val="008B7012"/>
    <w:rsid w:val="008C3124"/>
    <w:rsid w:val="008C39E8"/>
    <w:rsid w:val="008D038B"/>
    <w:rsid w:val="008D58EE"/>
    <w:rsid w:val="008D5B93"/>
    <w:rsid w:val="008E2E1F"/>
    <w:rsid w:val="008E3AB4"/>
    <w:rsid w:val="008F2B7C"/>
    <w:rsid w:val="008F3CBB"/>
    <w:rsid w:val="008F45D9"/>
    <w:rsid w:val="008F579D"/>
    <w:rsid w:val="008F5CBD"/>
    <w:rsid w:val="008F7E00"/>
    <w:rsid w:val="00900540"/>
    <w:rsid w:val="00902B07"/>
    <w:rsid w:val="00905018"/>
    <w:rsid w:val="00906437"/>
    <w:rsid w:val="00911AD9"/>
    <w:rsid w:val="00914F1C"/>
    <w:rsid w:val="00920A4F"/>
    <w:rsid w:val="00924421"/>
    <w:rsid w:val="00937ACD"/>
    <w:rsid w:val="00942021"/>
    <w:rsid w:val="0095629B"/>
    <w:rsid w:val="00962F9D"/>
    <w:rsid w:val="00964541"/>
    <w:rsid w:val="00964FC4"/>
    <w:rsid w:val="009713F1"/>
    <w:rsid w:val="00973D5B"/>
    <w:rsid w:val="0097512C"/>
    <w:rsid w:val="0097643C"/>
    <w:rsid w:val="009810C5"/>
    <w:rsid w:val="009811B3"/>
    <w:rsid w:val="009830F2"/>
    <w:rsid w:val="00983DD7"/>
    <w:rsid w:val="009848D6"/>
    <w:rsid w:val="00984CEE"/>
    <w:rsid w:val="00984EB1"/>
    <w:rsid w:val="00990101"/>
    <w:rsid w:val="009A186A"/>
    <w:rsid w:val="009A42E6"/>
    <w:rsid w:val="009A4993"/>
    <w:rsid w:val="009A72AD"/>
    <w:rsid w:val="009A7319"/>
    <w:rsid w:val="009B3D70"/>
    <w:rsid w:val="009C066C"/>
    <w:rsid w:val="009C0F95"/>
    <w:rsid w:val="009C12B7"/>
    <w:rsid w:val="009C1AE2"/>
    <w:rsid w:val="009C2AD1"/>
    <w:rsid w:val="009D0D49"/>
    <w:rsid w:val="009D58FE"/>
    <w:rsid w:val="009D75B2"/>
    <w:rsid w:val="009D75EA"/>
    <w:rsid w:val="009D7EF5"/>
    <w:rsid w:val="009E2928"/>
    <w:rsid w:val="009E49D4"/>
    <w:rsid w:val="009F1B0D"/>
    <w:rsid w:val="009F236F"/>
    <w:rsid w:val="00A00AB7"/>
    <w:rsid w:val="00A01569"/>
    <w:rsid w:val="00A02A29"/>
    <w:rsid w:val="00A064C6"/>
    <w:rsid w:val="00A112EC"/>
    <w:rsid w:val="00A12743"/>
    <w:rsid w:val="00A14886"/>
    <w:rsid w:val="00A172B1"/>
    <w:rsid w:val="00A202A8"/>
    <w:rsid w:val="00A21018"/>
    <w:rsid w:val="00A23405"/>
    <w:rsid w:val="00A26DF8"/>
    <w:rsid w:val="00A275C2"/>
    <w:rsid w:val="00A31D74"/>
    <w:rsid w:val="00A343B6"/>
    <w:rsid w:val="00A3515A"/>
    <w:rsid w:val="00A35302"/>
    <w:rsid w:val="00A36A34"/>
    <w:rsid w:val="00A40E8F"/>
    <w:rsid w:val="00A4218C"/>
    <w:rsid w:val="00A421BB"/>
    <w:rsid w:val="00A43BA3"/>
    <w:rsid w:val="00A5140B"/>
    <w:rsid w:val="00A53966"/>
    <w:rsid w:val="00A5603D"/>
    <w:rsid w:val="00A56768"/>
    <w:rsid w:val="00A608F4"/>
    <w:rsid w:val="00A6380A"/>
    <w:rsid w:val="00A667A6"/>
    <w:rsid w:val="00A6692E"/>
    <w:rsid w:val="00A670CB"/>
    <w:rsid w:val="00A7031D"/>
    <w:rsid w:val="00A7061D"/>
    <w:rsid w:val="00A706C8"/>
    <w:rsid w:val="00A73E75"/>
    <w:rsid w:val="00A74BD1"/>
    <w:rsid w:val="00A7693E"/>
    <w:rsid w:val="00A77ECB"/>
    <w:rsid w:val="00A82121"/>
    <w:rsid w:val="00A83F92"/>
    <w:rsid w:val="00A85F76"/>
    <w:rsid w:val="00A9097B"/>
    <w:rsid w:val="00A95FEA"/>
    <w:rsid w:val="00A969AC"/>
    <w:rsid w:val="00AA2BE1"/>
    <w:rsid w:val="00AB02BB"/>
    <w:rsid w:val="00AB1797"/>
    <w:rsid w:val="00AB2EC6"/>
    <w:rsid w:val="00AB7CC5"/>
    <w:rsid w:val="00AB7E8F"/>
    <w:rsid w:val="00AC1134"/>
    <w:rsid w:val="00AC2C9E"/>
    <w:rsid w:val="00AD2F0D"/>
    <w:rsid w:val="00AD3800"/>
    <w:rsid w:val="00AD3A4A"/>
    <w:rsid w:val="00AD5722"/>
    <w:rsid w:val="00AD6499"/>
    <w:rsid w:val="00AD7BD8"/>
    <w:rsid w:val="00AE12FA"/>
    <w:rsid w:val="00AE327F"/>
    <w:rsid w:val="00AE428B"/>
    <w:rsid w:val="00AE4B65"/>
    <w:rsid w:val="00AE4DAF"/>
    <w:rsid w:val="00AF0874"/>
    <w:rsid w:val="00AF1AB9"/>
    <w:rsid w:val="00AF5D40"/>
    <w:rsid w:val="00AF5DDC"/>
    <w:rsid w:val="00AF7645"/>
    <w:rsid w:val="00B0005C"/>
    <w:rsid w:val="00B022F6"/>
    <w:rsid w:val="00B0442E"/>
    <w:rsid w:val="00B07692"/>
    <w:rsid w:val="00B112DE"/>
    <w:rsid w:val="00B13EA2"/>
    <w:rsid w:val="00B15E1F"/>
    <w:rsid w:val="00B177C6"/>
    <w:rsid w:val="00B20269"/>
    <w:rsid w:val="00B220C4"/>
    <w:rsid w:val="00B22603"/>
    <w:rsid w:val="00B27684"/>
    <w:rsid w:val="00B350BA"/>
    <w:rsid w:val="00B35E1B"/>
    <w:rsid w:val="00B52171"/>
    <w:rsid w:val="00B52960"/>
    <w:rsid w:val="00B54E31"/>
    <w:rsid w:val="00B55E00"/>
    <w:rsid w:val="00B64252"/>
    <w:rsid w:val="00B648A8"/>
    <w:rsid w:val="00B72C03"/>
    <w:rsid w:val="00B76E49"/>
    <w:rsid w:val="00B7700E"/>
    <w:rsid w:val="00B874C6"/>
    <w:rsid w:val="00B90B92"/>
    <w:rsid w:val="00B90C84"/>
    <w:rsid w:val="00B92F33"/>
    <w:rsid w:val="00B960ED"/>
    <w:rsid w:val="00B97E95"/>
    <w:rsid w:val="00BA2D85"/>
    <w:rsid w:val="00BA380E"/>
    <w:rsid w:val="00BA5BF4"/>
    <w:rsid w:val="00BA6D2A"/>
    <w:rsid w:val="00BA6E93"/>
    <w:rsid w:val="00BA6FF2"/>
    <w:rsid w:val="00BB197D"/>
    <w:rsid w:val="00BB19DB"/>
    <w:rsid w:val="00BB2802"/>
    <w:rsid w:val="00BB5694"/>
    <w:rsid w:val="00BB79D5"/>
    <w:rsid w:val="00BC00CC"/>
    <w:rsid w:val="00BC17F1"/>
    <w:rsid w:val="00BC269D"/>
    <w:rsid w:val="00BC56F7"/>
    <w:rsid w:val="00BD1379"/>
    <w:rsid w:val="00BD1B54"/>
    <w:rsid w:val="00BD531B"/>
    <w:rsid w:val="00BD68A4"/>
    <w:rsid w:val="00BE151B"/>
    <w:rsid w:val="00BE28FE"/>
    <w:rsid w:val="00BE30B1"/>
    <w:rsid w:val="00BE482C"/>
    <w:rsid w:val="00BE6A43"/>
    <w:rsid w:val="00BE77E2"/>
    <w:rsid w:val="00BF6DD4"/>
    <w:rsid w:val="00C003FE"/>
    <w:rsid w:val="00C00B8C"/>
    <w:rsid w:val="00C00FB9"/>
    <w:rsid w:val="00C02858"/>
    <w:rsid w:val="00C030E4"/>
    <w:rsid w:val="00C10AAD"/>
    <w:rsid w:val="00C12C5D"/>
    <w:rsid w:val="00C245A3"/>
    <w:rsid w:val="00C27DA7"/>
    <w:rsid w:val="00C3033F"/>
    <w:rsid w:val="00C3196B"/>
    <w:rsid w:val="00C332A0"/>
    <w:rsid w:val="00C33BB5"/>
    <w:rsid w:val="00C3431D"/>
    <w:rsid w:val="00C352F6"/>
    <w:rsid w:val="00C3623C"/>
    <w:rsid w:val="00C44AB6"/>
    <w:rsid w:val="00C45093"/>
    <w:rsid w:val="00C45E9B"/>
    <w:rsid w:val="00C50DBD"/>
    <w:rsid w:val="00C52ABD"/>
    <w:rsid w:val="00C53748"/>
    <w:rsid w:val="00C5514E"/>
    <w:rsid w:val="00C55B07"/>
    <w:rsid w:val="00C560BD"/>
    <w:rsid w:val="00C56DEC"/>
    <w:rsid w:val="00C56E3C"/>
    <w:rsid w:val="00C57CA5"/>
    <w:rsid w:val="00C6030A"/>
    <w:rsid w:val="00C61E89"/>
    <w:rsid w:val="00C62CA1"/>
    <w:rsid w:val="00C66609"/>
    <w:rsid w:val="00C672C5"/>
    <w:rsid w:val="00C70284"/>
    <w:rsid w:val="00C729BF"/>
    <w:rsid w:val="00C73E48"/>
    <w:rsid w:val="00C75DCF"/>
    <w:rsid w:val="00C75E6F"/>
    <w:rsid w:val="00C83534"/>
    <w:rsid w:val="00C84E06"/>
    <w:rsid w:val="00C92DC7"/>
    <w:rsid w:val="00C939A0"/>
    <w:rsid w:val="00C95013"/>
    <w:rsid w:val="00C96DD0"/>
    <w:rsid w:val="00CA59AE"/>
    <w:rsid w:val="00CB0C40"/>
    <w:rsid w:val="00CB1455"/>
    <w:rsid w:val="00CB50A5"/>
    <w:rsid w:val="00CB551D"/>
    <w:rsid w:val="00CB5F3F"/>
    <w:rsid w:val="00CC0F08"/>
    <w:rsid w:val="00CC1665"/>
    <w:rsid w:val="00CC363A"/>
    <w:rsid w:val="00CC3785"/>
    <w:rsid w:val="00CC5DC6"/>
    <w:rsid w:val="00CC62CE"/>
    <w:rsid w:val="00CD0692"/>
    <w:rsid w:val="00CD369F"/>
    <w:rsid w:val="00CD3E0D"/>
    <w:rsid w:val="00CD4C82"/>
    <w:rsid w:val="00CE1304"/>
    <w:rsid w:val="00CE2605"/>
    <w:rsid w:val="00CE3531"/>
    <w:rsid w:val="00CE53C0"/>
    <w:rsid w:val="00CF00EF"/>
    <w:rsid w:val="00CF49CF"/>
    <w:rsid w:val="00CF6651"/>
    <w:rsid w:val="00CF7851"/>
    <w:rsid w:val="00CF7BED"/>
    <w:rsid w:val="00D004FC"/>
    <w:rsid w:val="00D028DE"/>
    <w:rsid w:val="00D036E4"/>
    <w:rsid w:val="00D03D0B"/>
    <w:rsid w:val="00D1333C"/>
    <w:rsid w:val="00D138BF"/>
    <w:rsid w:val="00D14472"/>
    <w:rsid w:val="00D20377"/>
    <w:rsid w:val="00D2431D"/>
    <w:rsid w:val="00D24486"/>
    <w:rsid w:val="00D24D55"/>
    <w:rsid w:val="00D24E74"/>
    <w:rsid w:val="00D32E63"/>
    <w:rsid w:val="00D3524E"/>
    <w:rsid w:val="00D43694"/>
    <w:rsid w:val="00D443B7"/>
    <w:rsid w:val="00D45EB2"/>
    <w:rsid w:val="00D46F32"/>
    <w:rsid w:val="00D4767A"/>
    <w:rsid w:val="00D47732"/>
    <w:rsid w:val="00D47F66"/>
    <w:rsid w:val="00D543CE"/>
    <w:rsid w:val="00D56568"/>
    <w:rsid w:val="00D56D4F"/>
    <w:rsid w:val="00D6059B"/>
    <w:rsid w:val="00D71C08"/>
    <w:rsid w:val="00D737DD"/>
    <w:rsid w:val="00D752D5"/>
    <w:rsid w:val="00D75ED1"/>
    <w:rsid w:val="00D77B47"/>
    <w:rsid w:val="00D81747"/>
    <w:rsid w:val="00D84140"/>
    <w:rsid w:val="00D843E5"/>
    <w:rsid w:val="00D850C8"/>
    <w:rsid w:val="00D86E91"/>
    <w:rsid w:val="00D872BD"/>
    <w:rsid w:val="00D87F55"/>
    <w:rsid w:val="00DA23F9"/>
    <w:rsid w:val="00DA2664"/>
    <w:rsid w:val="00DB1B71"/>
    <w:rsid w:val="00DB4A78"/>
    <w:rsid w:val="00DB7382"/>
    <w:rsid w:val="00DC0157"/>
    <w:rsid w:val="00DC54D4"/>
    <w:rsid w:val="00DC59DD"/>
    <w:rsid w:val="00DC64C1"/>
    <w:rsid w:val="00DD3620"/>
    <w:rsid w:val="00DD45BC"/>
    <w:rsid w:val="00DD5BE2"/>
    <w:rsid w:val="00DD604F"/>
    <w:rsid w:val="00DE1338"/>
    <w:rsid w:val="00DE4235"/>
    <w:rsid w:val="00DE468B"/>
    <w:rsid w:val="00DF1CA1"/>
    <w:rsid w:val="00DF303A"/>
    <w:rsid w:val="00DF7BEF"/>
    <w:rsid w:val="00E014F2"/>
    <w:rsid w:val="00E06E4F"/>
    <w:rsid w:val="00E12C28"/>
    <w:rsid w:val="00E14D54"/>
    <w:rsid w:val="00E205F0"/>
    <w:rsid w:val="00E23938"/>
    <w:rsid w:val="00E26694"/>
    <w:rsid w:val="00E311DF"/>
    <w:rsid w:val="00E42B8F"/>
    <w:rsid w:val="00E430FF"/>
    <w:rsid w:val="00E45CB8"/>
    <w:rsid w:val="00E45DB2"/>
    <w:rsid w:val="00E4648A"/>
    <w:rsid w:val="00E46D69"/>
    <w:rsid w:val="00E51570"/>
    <w:rsid w:val="00E57FAE"/>
    <w:rsid w:val="00E600D5"/>
    <w:rsid w:val="00E615A1"/>
    <w:rsid w:val="00E63600"/>
    <w:rsid w:val="00E64E26"/>
    <w:rsid w:val="00E66C14"/>
    <w:rsid w:val="00E6732E"/>
    <w:rsid w:val="00E75EB9"/>
    <w:rsid w:val="00E76B6A"/>
    <w:rsid w:val="00E77902"/>
    <w:rsid w:val="00E82752"/>
    <w:rsid w:val="00E82F45"/>
    <w:rsid w:val="00E85246"/>
    <w:rsid w:val="00E86082"/>
    <w:rsid w:val="00E86D4E"/>
    <w:rsid w:val="00E91C79"/>
    <w:rsid w:val="00E933D6"/>
    <w:rsid w:val="00E9516C"/>
    <w:rsid w:val="00E96015"/>
    <w:rsid w:val="00EA1B31"/>
    <w:rsid w:val="00EA49DF"/>
    <w:rsid w:val="00EB1B5D"/>
    <w:rsid w:val="00EB3083"/>
    <w:rsid w:val="00EC1F64"/>
    <w:rsid w:val="00EC3D42"/>
    <w:rsid w:val="00EC56C8"/>
    <w:rsid w:val="00EE420B"/>
    <w:rsid w:val="00EE5407"/>
    <w:rsid w:val="00EE60C9"/>
    <w:rsid w:val="00EE788E"/>
    <w:rsid w:val="00EF088D"/>
    <w:rsid w:val="00EF20F5"/>
    <w:rsid w:val="00EF509E"/>
    <w:rsid w:val="00F03B55"/>
    <w:rsid w:val="00F06649"/>
    <w:rsid w:val="00F1264A"/>
    <w:rsid w:val="00F169FA"/>
    <w:rsid w:val="00F201CA"/>
    <w:rsid w:val="00F229D7"/>
    <w:rsid w:val="00F245ED"/>
    <w:rsid w:val="00F25DC4"/>
    <w:rsid w:val="00F27442"/>
    <w:rsid w:val="00F30A81"/>
    <w:rsid w:val="00F334DE"/>
    <w:rsid w:val="00F37171"/>
    <w:rsid w:val="00F429FF"/>
    <w:rsid w:val="00F4604C"/>
    <w:rsid w:val="00F527CA"/>
    <w:rsid w:val="00F52E90"/>
    <w:rsid w:val="00F54638"/>
    <w:rsid w:val="00F54D5D"/>
    <w:rsid w:val="00F57C44"/>
    <w:rsid w:val="00F607AA"/>
    <w:rsid w:val="00F621E3"/>
    <w:rsid w:val="00F65C75"/>
    <w:rsid w:val="00F702C6"/>
    <w:rsid w:val="00F732A8"/>
    <w:rsid w:val="00F77BA4"/>
    <w:rsid w:val="00F80828"/>
    <w:rsid w:val="00F81F60"/>
    <w:rsid w:val="00F91DCC"/>
    <w:rsid w:val="00F96EA2"/>
    <w:rsid w:val="00FA3EF9"/>
    <w:rsid w:val="00FA70C1"/>
    <w:rsid w:val="00FB0039"/>
    <w:rsid w:val="00FB2EAC"/>
    <w:rsid w:val="00FB3E20"/>
    <w:rsid w:val="00FB6454"/>
    <w:rsid w:val="00FB7F8D"/>
    <w:rsid w:val="00FC0305"/>
    <w:rsid w:val="00FC280C"/>
    <w:rsid w:val="00FC2CEA"/>
    <w:rsid w:val="00FC3A95"/>
    <w:rsid w:val="00FC499D"/>
    <w:rsid w:val="00FD1C06"/>
    <w:rsid w:val="00FD1E20"/>
    <w:rsid w:val="00FE122E"/>
    <w:rsid w:val="00FE5391"/>
    <w:rsid w:val="00FE69E7"/>
    <w:rsid w:val="00FF2AEF"/>
    <w:rsid w:val="01202B9D"/>
    <w:rsid w:val="02EB492B"/>
    <w:rsid w:val="04315583"/>
    <w:rsid w:val="07343657"/>
    <w:rsid w:val="08E20429"/>
    <w:rsid w:val="14A96F58"/>
    <w:rsid w:val="1BF256A6"/>
    <w:rsid w:val="1E5E1D0A"/>
    <w:rsid w:val="1F8B7195"/>
    <w:rsid w:val="245B6CC9"/>
    <w:rsid w:val="2AD34EB3"/>
    <w:rsid w:val="2F4F3208"/>
    <w:rsid w:val="30BD4AC6"/>
    <w:rsid w:val="33346CC9"/>
    <w:rsid w:val="374B5EE5"/>
    <w:rsid w:val="3DDF4265"/>
    <w:rsid w:val="3F291203"/>
    <w:rsid w:val="40A43D51"/>
    <w:rsid w:val="40E50FB0"/>
    <w:rsid w:val="41F139E5"/>
    <w:rsid w:val="4BD503AB"/>
    <w:rsid w:val="4E8E0F34"/>
    <w:rsid w:val="51DD47AC"/>
    <w:rsid w:val="581A7C92"/>
    <w:rsid w:val="5990202E"/>
    <w:rsid w:val="6163673F"/>
    <w:rsid w:val="639F33F3"/>
    <w:rsid w:val="71092F12"/>
    <w:rsid w:val="72F42181"/>
    <w:rsid w:val="73F676A0"/>
    <w:rsid w:val="76D37E4E"/>
    <w:rsid w:val="79C8563A"/>
    <w:rsid w:val="7ACA044B"/>
    <w:rsid w:val="7C2214D4"/>
    <w:rsid w:val="FEBF2E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ascii="宋体" w:hAnsi="宋体" w:cs="宋体"/>
      <w:b/>
      <w:bCs/>
      <w:kern w:val="44"/>
      <w:sz w:val="48"/>
      <w:szCs w:val="48"/>
    </w:rPr>
  </w:style>
  <w:style w:type="paragraph" w:styleId="5">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Body Text First Indent 21"/>
    <w:basedOn w:val="3"/>
    <w:qFormat/>
    <w:uiPriority w:val="99"/>
    <w:pPr>
      <w:ind w:firstLine="420" w:firstLineChars="200"/>
    </w:pPr>
  </w:style>
  <w:style w:type="paragraph" w:customStyle="1" w:styleId="3">
    <w:name w:val="Body Text Indent1"/>
    <w:basedOn w:val="1"/>
    <w:qFormat/>
    <w:uiPriority w:val="99"/>
    <w:pPr>
      <w:ind w:left="420" w:leftChars="200"/>
    </w:pPr>
    <w:rPr>
      <w:rFonts w:cs="Calibri"/>
      <w:sz w:val="24"/>
    </w:rPr>
  </w:style>
  <w:style w:type="paragraph" w:styleId="6">
    <w:name w:val="annotation text"/>
    <w:basedOn w:val="1"/>
    <w:link w:val="27"/>
    <w:semiHidden/>
    <w:unhideWhenUsed/>
    <w:qFormat/>
    <w:uiPriority w:val="99"/>
    <w:pPr>
      <w:jc w:val="left"/>
    </w:pPr>
  </w:style>
  <w:style w:type="paragraph" w:styleId="7">
    <w:name w:val="index 6"/>
    <w:basedOn w:val="1"/>
    <w:next w:val="1"/>
    <w:qFormat/>
    <w:uiPriority w:val="0"/>
    <w:pPr>
      <w:ind w:left="1000" w:leftChars="1000"/>
    </w:pPr>
  </w:style>
  <w:style w:type="paragraph" w:styleId="8">
    <w:name w:val="Body Text"/>
    <w:basedOn w:val="1"/>
    <w:next w:val="1"/>
    <w:qFormat/>
    <w:uiPriority w:val="0"/>
    <w:pPr>
      <w:tabs>
        <w:tab w:val="left" w:pos="3122"/>
      </w:tabs>
    </w:pPr>
    <w:rPr>
      <w:rFonts w:ascii="宋体"/>
      <w:b/>
      <w:sz w:val="36"/>
    </w:rPr>
  </w:style>
  <w:style w:type="paragraph" w:styleId="9">
    <w:name w:val="toc 5"/>
    <w:basedOn w:val="1"/>
    <w:next w:val="1"/>
    <w:qFormat/>
    <w:uiPriority w:val="0"/>
    <w:pPr>
      <w:ind w:left="1680" w:leftChars="800"/>
    </w:pPr>
  </w:style>
  <w:style w:type="paragraph" w:styleId="10">
    <w:name w:val="Balloon Text"/>
    <w:basedOn w:val="1"/>
    <w:link w:val="25"/>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4">
    <w:name w:val="Normal (Web)"/>
    <w:basedOn w:val="1"/>
    <w:qFormat/>
    <w:uiPriority w:val="99"/>
    <w:pPr>
      <w:spacing w:beforeAutospacing="1" w:afterAutospacing="1"/>
      <w:jc w:val="left"/>
    </w:pPr>
    <w:rPr>
      <w:kern w:val="0"/>
      <w:sz w:val="24"/>
    </w:rPr>
  </w:style>
  <w:style w:type="paragraph" w:styleId="15">
    <w:name w:val="annotation subject"/>
    <w:basedOn w:val="6"/>
    <w:next w:val="6"/>
    <w:link w:val="28"/>
    <w:semiHidden/>
    <w:unhideWhenUsed/>
    <w:qFormat/>
    <w:uiPriority w:val="99"/>
    <w:rPr>
      <w:b/>
      <w:bCs/>
    </w:rPr>
  </w:style>
  <w:style w:type="character" w:styleId="18">
    <w:name w:val="Strong"/>
    <w:basedOn w:val="17"/>
    <w:qFormat/>
    <w:uiPriority w:val="0"/>
    <w:rPr>
      <w:b/>
      <w:bCs/>
    </w:rPr>
  </w:style>
  <w:style w:type="character" w:styleId="19">
    <w:name w:val="page number"/>
    <w:basedOn w:val="17"/>
    <w:qFormat/>
    <w:uiPriority w:val="99"/>
    <w:rPr>
      <w:rFonts w:cs="Times New Roman"/>
    </w:rPr>
  </w:style>
  <w:style w:type="character" w:styleId="20">
    <w:name w:val="annotation reference"/>
    <w:basedOn w:val="17"/>
    <w:semiHidden/>
    <w:unhideWhenUsed/>
    <w:qFormat/>
    <w:uiPriority w:val="99"/>
    <w:rPr>
      <w:sz w:val="21"/>
      <w:szCs w:val="21"/>
    </w:rPr>
  </w:style>
  <w:style w:type="paragraph" w:customStyle="1" w:styleId="21">
    <w:name w:val="常用样式（方正仿宋简）"/>
    <w:basedOn w:val="1"/>
    <w:qFormat/>
    <w:uiPriority w:val="0"/>
    <w:pPr>
      <w:spacing w:line="560" w:lineRule="exact"/>
      <w:ind w:firstLine="640" w:firstLineChars="200"/>
    </w:pPr>
    <w:rPr>
      <w:rFonts w:ascii="Times New Roman" w:hAnsi="Times New Roman" w:eastAsia="方正仿宋简体"/>
      <w:sz w:val="32"/>
      <w:szCs w:val="32"/>
    </w:rPr>
  </w:style>
  <w:style w:type="character" w:customStyle="1" w:styleId="22">
    <w:name w:val="页眉 字符"/>
    <w:basedOn w:val="17"/>
    <w:link w:val="12"/>
    <w:qFormat/>
    <w:locked/>
    <w:uiPriority w:val="99"/>
    <w:rPr>
      <w:rFonts w:cs="Times New Roman"/>
      <w:sz w:val="18"/>
      <w:szCs w:val="18"/>
    </w:rPr>
  </w:style>
  <w:style w:type="character" w:customStyle="1" w:styleId="23">
    <w:name w:val="页脚 字符"/>
    <w:basedOn w:val="17"/>
    <w:link w:val="11"/>
    <w:qFormat/>
    <w:locked/>
    <w:uiPriority w:val="99"/>
    <w:rPr>
      <w:rFonts w:cs="Times New Roman"/>
      <w:sz w:val="18"/>
      <w:szCs w:val="18"/>
    </w:rPr>
  </w:style>
  <w:style w:type="paragraph" w:styleId="24">
    <w:name w:val="List Paragraph"/>
    <w:basedOn w:val="1"/>
    <w:qFormat/>
    <w:uiPriority w:val="34"/>
    <w:pPr>
      <w:ind w:firstLine="420" w:firstLineChars="200"/>
    </w:pPr>
  </w:style>
  <w:style w:type="character" w:customStyle="1" w:styleId="25">
    <w:name w:val="批注框文本 字符"/>
    <w:basedOn w:val="17"/>
    <w:link w:val="10"/>
    <w:semiHidden/>
    <w:qFormat/>
    <w:uiPriority w:val="99"/>
    <w:rPr>
      <w:kern w:val="2"/>
      <w:sz w:val="18"/>
      <w:szCs w:val="18"/>
    </w:rPr>
  </w:style>
  <w:style w:type="paragraph" w:customStyle="1" w:styleId="26">
    <w:name w:val="one-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7">
    <w:name w:val="批注文字 字符"/>
    <w:basedOn w:val="17"/>
    <w:link w:val="6"/>
    <w:semiHidden/>
    <w:qFormat/>
    <w:uiPriority w:val="99"/>
    <w:rPr>
      <w:rFonts w:ascii="Calibri" w:hAnsi="Calibri"/>
      <w:kern w:val="2"/>
      <w:sz w:val="21"/>
      <w:szCs w:val="22"/>
    </w:rPr>
  </w:style>
  <w:style w:type="character" w:customStyle="1" w:styleId="28">
    <w:name w:val="批注主题 字符"/>
    <w:basedOn w:val="27"/>
    <w:link w:val="15"/>
    <w:semiHidden/>
    <w:qFormat/>
    <w:uiPriority w:val="99"/>
    <w:rPr>
      <w:rFonts w:ascii="Calibri" w:hAnsi="Calibri"/>
      <w:b/>
      <w:bCs/>
      <w:kern w:val="2"/>
      <w:sz w:val="21"/>
      <w:szCs w:val="22"/>
    </w:rPr>
  </w:style>
  <w:style w:type="paragraph" w:customStyle="1" w:styleId="29">
    <w:name w:val="BodyText"/>
    <w:basedOn w:val="1"/>
    <w:qFormat/>
    <w:uiPriority w:val="0"/>
    <w:pPr>
      <w:spacing w:line="240" w:lineRule="atLeast"/>
    </w:pPr>
    <w:rPr>
      <w:rFonts w:eastAsia="小标宋"/>
      <w:sz w:val="44"/>
    </w:rPr>
  </w:style>
  <w:style w:type="paragraph" w:customStyle="1" w:styleId="30">
    <w:name w:val="正文1"/>
    <w:basedOn w:val="1"/>
    <w:qFormat/>
    <w:uiPriority w:val="0"/>
    <w:pPr>
      <w:widowControl/>
    </w:pPr>
  </w:style>
  <w:style w:type="character" w:customStyle="1" w:styleId="31">
    <w:name w:val="bjh-p"/>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投诉量</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0"/>
              <c:layout>
                <c:manualLayout>
                  <c:x val="-0.00219610322432324"/>
                  <c:y val="-0.22859312488851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28937486828745"/>
                  <c:y val="0.10573630966032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0403663045769"/>
                  <c:y val="0.064769003389139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0388757974596255"/>
                  <c:y val="-0.057676783120556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310289863402111"/>
                  <c:y val="-0.0207030553219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802136138092226"/>
                  <c:y val="-0.02792217720357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73851370768435"/>
                  <c:y val="-0.066113956629207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0.0459138120555448"/>
                  <c:y val="-0.092774382223201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0.00217081441462158"/>
                  <c:y val="-0.1055500344010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0.0648876372205324"/>
                  <c:y val="-0.089356827969320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Sheet1!$A$2:$A$11</c:f>
              <c:strCache>
                <c:ptCount val="10"/>
                <c:pt idx="0">
                  <c:v>质量</c:v>
                </c:pt>
                <c:pt idx="1">
                  <c:v>售后服务</c:v>
                </c:pt>
                <c:pt idx="2">
                  <c:v>合同</c:v>
                </c:pt>
                <c:pt idx="3">
                  <c:v>价格</c:v>
                </c:pt>
                <c:pt idx="4">
                  <c:v>安全</c:v>
                </c:pt>
                <c:pt idx="5">
                  <c:v>虚假宣传</c:v>
                </c:pt>
                <c:pt idx="6">
                  <c:v>其他</c:v>
                </c:pt>
                <c:pt idx="7">
                  <c:v>计量</c:v>
                </c:pt>
                <c:pt idx="8">
                  <c:v>假冒</c:v>
                </c:pt>
                <c:pt idx="9">
                  <c:v>人格尊严</c:v>
                </c:pt>
              </c:strCache>
            </c:strRef>
          </c:cat>
          <c:val>
            <c:numRef>
              <c:f>Sheet1!$B$2:$B$11</c:f>
              <c:numCache>
                <c:formatCode>General</c:formatCode>
                <c:ptCount val="10"/>
                <c:pt idx="0">
                  <c:v>6106</c:v>
                </c:pt>
                <c:pt idx="1">
                  <c:v>3605</c:v>
                </c:pt>
                <c:pt idx="2">
                  <c:v>2296</c:v>
                </c:pt>
                <c:pt idx="3">
                  <c:v>2074</c:v>
                </c:pt>
                <c:pt idx="4">
                  <c:v>1373</c:v>
                </c:pt>
                <c:pt idx="5">
                  <c:v>1312</c:v>
                </c:pt>
                <c:pt idx="6">
                  <c:v>995</c:v>
                </c:pt>
                <c:pt idx="7">
                  <c:v>443</c:v>
                </c:pt>
                <c:pt idx="8">
                  <c:v>211</c:v>
                </c:pt>
                <c:pt idx="9">
                  <c:v>80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711109239687285"/>
          <c:y val="0.121924643140538"/>
          <c:w val="0.884341637010689"/>
          <c:h val="0.575757575757576"/>
        </c:manualLayout>
      </c:layout>
      <c:barChart>
        <c:barDir val="col"/>
        <c:grouping val="stacked"/>
        <c:varyColors val="0"/>
        <c:ser>
          <c:idx val="0"/>
          <c:order val="0"/>
          <c:tx>
            <c:strRef>
              <c:f>Sheet1!$A$2</c:f>
              <c:strCache>
                <c:ptCount val="1"/>
                <c:pt idx="0">
                  <c:v/>
                </c:pt>
              </c:strCache>
            </c:strRef>
          </c:tx>
          <c:spPr>
            <a:solidFill>
              <a:srgbClr val="99CCFF"/>
            </a:solidFill>
            <a:ln w="12700">
              <a:solidFill>
                <a:srgbClr val="000000"/>
              </a:solidFill>
              <a:prstDash val="solid"/>
            </a:ln>
          </c:spPr>
          <c:invertIfNegative val="0"/>
          <c:dLbls>
            <c:dLbl>
              <c:idx val="0"/>
              <c:layout>
                <c:manualLayout>
                  <c:x val="0.00374340907921269"/>
                  <c:y val="-0.30012260095395"/>
                </c:manualLayout>
              </c:layout>
              <c:tx>
                <c:rich>
                  <a:bodyPr rot="0" spcFirstLastPara="0" vertOverflow="ellipsis" vert="horz" wrap="square" lIns="38100" tIns="19050" rIns="38100" bIns="19050" anchor="ctr" anchorCtr="1"/>
                  <a:lstStyle/>
                  <a:p>
                    <a:pPr>
                      <a:defRPr lang="zh-CN" sz="88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en-US" sz="880"/>
                      <a:t>3356</a:t>
                    </a:r>
                    <a:endParaRPr lang="en-US" altLang="en-US" sz="880"/>
                  </a:p>
                </c:rich>
              </c:tx>
              <c:numFmt formatCode="General" sourceLinked="1"/>
              <c:spPr>
                <a:solidFill>
                  <a:srgbClr val="FFFFFF"/>
                </a:solidFill>
                <a:ln w="25400">
                  <a:noFill/>
                </a:ln>
                <a:effectLst/>
              </c:spPr>
              <c:txPr>
                <a:bodyPr rot="0" spcFirstLastPara="0" vertOverflow="ellipsis" vert="horz" wrap="square" lIns="38100" tIns="19050" rIns="38100" bIns="19050" anchor="ctr" anchorCtr="1"/>
                <a:lstStyle/>
                <a:p>
                  <a:pPr>
                    <a:defRPr lang="zh-CN" sz="88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41965275730908"/>
                  <c:y val="-0.16821722866037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43668271412597"/>
                  <c:y val="-0.15099449778080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3902667246808"/>
                  <c:y val="-0.13652898038907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808829377611221"/>
                  <c:y val="-0.11505026987905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0439597456735"/>
                  <c:y val="-0.10624671916010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31774905142205"/>
                  <c:y val="-0.093192769508462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61765875522244"/>
                  <c:y val="-0.092406937504904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08261868335977"/>
                  <c:y val="-0.08334737227614"/>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0224009431976083"/>
                  <c:y val="-0.065672604877878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solidFill>
                <a:srgbClr val="FFFFFF"/>
              </a:solidFill>
              <a:ln w="25400">
                <a:noFill/>
              </a:ln>
              <a:effectLst/>
            </c:spPr>
            <c:txPr>
              <a:bodyPr rot="0" spcFirstLastPara="0" vertOverflow="ellipsis" vert="horz" wrap="square" lIns="38100" tIns="19050" rIns="38100" bIns="19050" anchor="ctr" anchorCtr="1"/>
              <a:lstStyle/>
              <a:p>
                <a:pPr>
                  <a:defRPr lang="zh-CN" sz="8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Sheet1!$B$1:$K$1</c:f>
              <c:strCache>
                <c:ptCount val="10"/>
                <c:pt idx="0">
                  <c:v>食品类</c:v>
                </c:pt>
                <c:pt idx="1">
                  <c:v>家用电子电器类</c:v>
                </c:pt>
                <c:pt idx="2">
                  <c:v>服装鞋帽类</c:v>
                </c:pt>
                <c:pt idx="3">
                  <c:v>日用商品类</c:v>
                </c:pt>
                <c:pt idx="4">
                  <c:v>房屋及建材类</c:v>
                </c:pt>
                <c:pt idx="5">
                  <c:v>首饰及文体类</c:v>
                </c:pt>
                <c:pt idx="6">
                  <c:v>烟、酒和饮料类</c:v>
                </c:pt>
                <c:pt idx="7">
                  <c:v>医药及医疗用品类</c:v>
                </c:pt>
                <c:pt idx="8">
                  <c:v>交通工具类</c:v>
                </c:pt>
                <c:pt idx="9">
                  <c:v>农用生产资料类</c:v>
                </c:pt>
              </c:strCache>
            </c:strRef>
          </c:cat>
          <c:val>
            <c:numRef>
              <c:f>Sheet1!$B$2:$K$2</c:f>
              <c:numCache>
                <c:formatCode>General</c:formatCode>
                <c:ptCount val="10"/>
                <c:pt idx="0">
                  <c:v>3356</c:v>
                </c:pt>
                <c:pt idx="1">
                  <c:v>1808</c:v>
                </c:pt>
                <c:pt idx="2">
                  <c:v>1448</c:v>
                </c:pt>
                <c:pt idx="3">
                  <c:v>1181</c:v>
                </c:pt>
                <c:pt idx="4">
                  <c:v>1010</c:v>
                </c:pt>
                <c:pt idx="5">
                  <c:v>528</c:v>
                </c:pt>
                <c:pt idx="6">
                  <c:v>528</c:v>
                </c:pt>
                <c:pt idx="7">
                  <c:v>492</c:v>
                </c:pt>
                <c:pt idx="8">
                  <c:v>473</c:v>
                </c:pt>
                <c:pt idx="9">
                  <c:v>104</c:v>
                </c:pt>
              </c:numCache>
            </c:numRef>
          </c:val>
        </c:ser>
        <c:dLbls>
          <c:showLegendKey val="0"/>
          <c:showVal val="1"/>
          <c:showCatName val="0"/>
          <c:showSerName val="0"/>
          <c:showPercent val="0"/>
          <c:showBubbleSize val="0"/>
        </c:dLbls>
        <c:gapWidth val="150"/>
        <c:overlap val="100"/>
        <c:axId val="336098816"/>
        <c:axId val="336100352"/>
      </c:barChart>
      <c:catAx>
        <c:axId val="336098816"/>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2460000" spcFirstLastPara="0" vertOverflow="ellipsis" vert="horz" wrap="square" anchor="ctr" anchorCtr="1"/>
          <a:lstStyle/>
          <a:p>
            <a:pPr>
              <a:defRPr lang="zh-CN" sz="9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36100352"/>
        <c:crosses val="autoZero"/>
        <c:auto val="1"/>
        <c:lblAlgn val="ctr"/>
        <c:lblOffset val="100"/>
        <c:tickLblSkip val="1"/>
        <c:noMultiLvlLbl val="0"/>
      </c:catAx>
      <c:valAx>
        <c:axId val="336100352"/>
        <c:scaling>
          <c:orientation val="minMax"/>
        </c:scaling>
        <c:delete val="0"/>
        <c:axPos val="l"/>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36098816"/>
        <c:crosses val="autoZero"/>
        <c:crossBetween val="between"/>
      </c:valAx>
      <c:spPr>
        <a:noFill/>
        <a:ln w="25400">
          <a:noFill/>
        </a:ln>
      </c:spPr>
    </c:plotArea>
    <c:plotVisOnly val="1"/>
    <c:dispBlanksAs val="gap"/>
    <c:showDLblsOverMax val="0"/>
  </c:chart>
  <c:spPr>
    <a:noFill/>
    <a:ln w="9525" cap="flat" cmpd="sng" algn="ctr">
      <a:noFill/>
      <a:prstDash val="solid"/>
      <a:round/>
    </a:ln>
  </c:spPr>
  <c:txPr>
    <a:bodyPr/>
    <a:lstStyle/>
    <a:p>
      <a:pPr>
        <a:defRPr lang="zh-CN" sz="18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74941673958"/>
          <c:y val="0.0475923591098292"/>
          <c:w val="0.852596314907873"/>
          <c:h val="0.659942363112393"/>
        </c:manualLayout>
      </c:layout>
      <c:barChart>
        <c:barDir val="col"/>
        <c:grouping val="stacked"/>
        <c:varyColors val="0"/>
        <c:ser>
          <c:idx val="0"/>
          <c:order val="0"/>
          <c:tx>
            <c:strRef>
              <c:f>Sheet1!$A$2</c:f>
              <c:strCache>
                <c:ptCount val="1"/>
                <c:pt idx="0">
                  <c:v/>
                </c:pt>
              </c:strCache>
            </c:strRef>
          </c:tx>
          <c:spPr>
            <a:solidFill>
              <a:srgbClr val="99CCFF"/>
            </a:solidFill>
            <a:ln w="12700">
              <a:solidFill>
                <a:srgbClr val="000000"/>
              </a:solidFill>
              <a:prstDash val="solid"/>
            </a:ln>
          </c:spPr>
          <c:invertIfNegative val="0"/>
          <c:dLbls>
            <c:dLbl>
              <c:idx val="0"/>
              <c:layout>
                <c:manualLayout>
                  <c:x val="-0.002098461650627"/>
                  <c:y val="-0.331228401137358"/>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84576407115777"/>
                  <c:y val="-0.243015912073491"/>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0328266258384369"/>
                  <c:y val="-0.14201689632545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64935112277632"/>
                  <c:y val="-0.096713692038495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0411563137941091"/>
                  <c:y val="-0.091012139107611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86187664041995"/>
                  <c:y val="-0.066797900262467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615941236512103"/>
                  <c:y val="-0.052817421259842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92144211140274"/>
                  <c:y val="-0.048816983814523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56135170603675"/>
                  <c:y val="-0.051687992125984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296314523184611"/>
                  <c:y val="-0.051962762467191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172517497812773"/>
                  <c:y val="-0.04999781277340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511683435403908"/>
                  <c:y val="-0.035060148731408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220363079615049"/>
                  <c:y val="-0.037259951881014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solidFill>
                <a:srgbClr val="FFFFFF"/>
              </a:solidFill>
              <a:ln w="25400">
                <a:noFill/>
              </a:ln>
              <a:effectLst/>
            </c:spPr>
            <c:txPr>
              <a:bodyPr rot="0" spcFirstLastPara="0" vertOverflow="ellipsis" vert="horz" wrap="square" lIns="38100" tIns="19050" rIns="38100" bIns="19050" anchor="ctr" anchorCtr="1"/>
              <a:lstStyle/>
              <a:p>
                <a:pPr>
                  <a:defRPr lang="zh-CN" sz="97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文化、娱乐、体育服务</c:v>
                </c:pt>
                <c:pt idx="3">
                  <c:v>房屋装修及物业服务</c:v>
                </c:pt>
                <c:pt idx="4">
                  <c:v>教育培训服务</c:v>
                </c:pt>
                <c:pt idx="5">
                  <c:v>旅游服务</c:v>
                </c:pt>
                <c:pt idx="6">
                  <c:v>通信服务</c:v>
                </c:pt>
                <c:pt idx="7">
                  <c:v>互联网服务</c:v>
                </c:pt>
                <c:pt idx="8">
                  <c:v>公共设施服务</c:v>
                </c:pt>
                <c:pt idx="9">
                  <c:v>卫生保健服务</c:v>
                </c:pt>
                <c:pt idx="10">
                  <c:v>邮政业服务</c:v>
                </c:pt>
                <c:pt idx="11">
                  <c:v>保险服务</c:v>
                </c:pt>
                <c:pt idx="12">
                  <c:v>银行服务</c:v>
                </c:pt>
              </c:strCache>
            </c:strRef>
          </c:cat>
          <c:val>
            <c:numRef>
              <c:f>Sheet1!$B$2:$N$2</c:f>
              <c:numCache>
                <c:formatCode>General</c:formatCode>
                <c:ptCount val="13"/>
                <c:pt idx="0">
                  <c:v>2702</c:v>
                </c:pt>
                <c:pt idx="1">
                  <c:v>1880</c:v>
                </c:pt>
                <c:pt idx="2">
                  <c:v>741</c:v>
                </c:pt>
                <c:pt idx="3">
                  <c:v>512</c:v>
                </c:pt>
                <c:pt idx="4">
                  <c:v>452</c:v>
                </c:pt>
                <c:pt idx="5">
                  <c:v>135</c:v>
                </c:pt>
                <c:pt idx="6">
                  <c:v>134</c:v>
                </c:pt>
                <c:pt idx="7">
                  <c:v>107</c:v>
                </c:pt>
                <c:pt idx="8">
                  <c:v>92</c:v>
                </c:pt>
                <c:pt idx="9">
                  <c:v>80</c:v>
                </c:pt>
                <c:pt idx="10">
                  <c:v>54</c:v>
                </c:pt>
                <c:pt idx="11">
                  <c:v>19</c:v>
                </c:pt>
                <c:pt idx="12">
                  <c:v>1</c:v>
                </c:pt>
              </c:numCache>
            </c:numRef>
          </c:val>
        </c:ser>
        <c:ser>
          <c:idx val="1"/>
          <c:order val="1"/>
          <c:tx>
            <c:strRef>
              <c:f>Sheet1!$A$3</c:f>
              <c:strCache>
                <c:ptCount val="1"/>
                <c:pt idx="0">
                  <c:v/>
                </c:pt>
              </c:strCache>
            </c:strRef>
          </c:tx>
          <c:spPr>
            <a:solidFill>
              <a:srgbClr val="993366"/>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8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文化、娱乐、体育服务</c:v>
                </c:pt>
                <c:pt idx="3">
                  <c:v>房屋装修及物业服务</c:v>
                </c:pt>
                <c:pt idx="4">
                  <c:v>教育培训服务</c:v>
                </c:pt>
                <c:pt idx="5">
                  <c:v>旅游服务</c:v>
                </c:pt>
                <c:pt idx="6">
                  <c:v>通信服务</c:v>
                </c:pt>
                <c:pt idx="7">
                  <c:v>互联网服务</c:v>
                </c:pt>
                <c:pt idx="8">
                  <c:v>公共设施服务</c:v>
                </c:pt>
                <c:pt idx="9">
                  <c:v>卫生保健服务</c:v>
                </c:pt>
                <c:pt idx="10">
                  <c:v>邮政业服务</c:v>
                </c:pt>
                <c:pt idx="11">
                  <c:v>保险服务</c:v>
                </c:pt>
                <c:pt idx="12">
                  <c:v>银行服务</c:v>
                </c:pt>
              </c:strCache>
            </c:strRef>
          </c:cat>
          <c:val>
            <c:numRef>
              <c:f>Sheet1!$B$3:$N$3</c:f>
              <c:numCache>
                <c:formatCode>General</c:formatCode>
                <c:ptCount val="13"/>
              </c:numCache>
            </c:numRef>
          </c:val>
        </c:ser>
        <c:ser>
          <c:idx val="2"/>
          <c:order val="2"/>
          <c:tx>
            <c:strRef>
              <c:f>Sheet1!$A$4</c:f>
              <c:strCache>
                <c:ptCount val="1"/>
                <c:pt idx="0">
                  <c:v/>
                </c:pt>
              </c:strCache>
            </c:strRef>
          </c:tx>
          <c:spPr>
            <a:solidFill>
              <a:srgbClr val="FFFFCC"/>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8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文化、娱乐、体育服务</c:v>
                </c:pt>
                <c:pt idx="3">
                  <c:v>房屋装修及物业服务</c:v>
                </c:pt>
                <c:pt idx="4">
                  <c:v>教育培训服务</c:v>
                </c:pt>
                <c:pt idx="5">
                  <c:v>旅游服务</c:v>
                </c:pt>
                <c:pt idx="6">
                  <c:v>通信服务</c:v>
                </c:pt>
                <c:pt idx="7">
                  <c:v>互联网服务</c:v>
                </c:pt>
                <c:pt idx="8">
                  <c:v>公共设施服务</c:v>
                </c:pt>
                <c:pt idx="9">
                  <c:v>卫生保健服务</c:v>
                </c:pt>
                <c:pt idx="10">
                  <c:v>邮政业服务</c:v>
                </c:pt>
                <c:pt idx="11">
                  <c:v>保险服务</c:v>
                </c:pt>
                <c:pt idx="12">
                  <c:v>银行服务</c:v>
                </c:pt>
              </c:strCache>
            </c:strRef>
          </c:cat>
          <c:val>
            <c:numRef>
              <c:f>Sheet1!$B$4:$N$4</c:f>
              <c:numCache>
                <c:formatCode>General</c:formatCode>
                <c:ptCount val="13"/>
              </c:numCache>
            </c:numRef>
          </c:val>
        </c:ser>
        <c:ser>
          <c:idx val="3"/>
          <c:order val="3"/>
          <c:tx>
            <c:strRef>
              <c:f>Sheet1!$A$5</c:f>
              <c:strCache>
                <c:ptCount val="1"/>
                <c:pt idx="0">
                  <c:v/>
                </c:pt>
              </c:strCache>
            </c:strRef>
          </c:tx>
          <c:spPr>
            <a:solidFill>
              <a:srgbClr val="CCFFFF"/>
            </a:solidFill>
            <a:ln w="12700">
              <a:solidFill>
                <a:srgbClr val="000000"/>
              </a:solidFill>
              <a:prstDash val="solid"/>
            </a:ln>
          </c:spPr>
          <c:invertIfNegative val="0"/>
          <c:dLbls>
            <c:spPr>
              <a:noFill/>
              <a:ln w="25400">
                <a:noFill/>
              </a:ln>
              <a:effectLst/>
            </c:spPr>
            <c:txPr>
              <a:bodyPr rot="0" spcFirstLastPara="0" vertOverflow="ellipsis" vert="horz" wrap="square" lIns="38100" tIns="19050" rIns="38100" bIns="19050" anchor="ctr" anchorCtr="1"/>
              <a:lstStyle/>
              <a:p>
                <a:pPr>
                  <a:defRPr lang="zh-CN" sz="18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Sheet1!$B$1:$N$1</c:f>
              <c:strCache>
                <c:ptCount val="13"/>
                <c:pt idx="0">
                  <c:v>生活、社会服务类</c:v>
                </c:pt>
                <c:pt idx="1">
                  <c:v>销售服务</c:v>
                </c:pt>
                <c:pt idx="2">
                  <c:v>文化、娱乐、体育服务</c:v>
                </c:pt>
                <c:pt idx="3">
                  <c:v>房屋装修及物业服务</c:v>
                </c:pt>
                <c:pt idx="4">
                  <c:v>教育培训服务</c:v>
                </c:pt>
                <c:pt idx="5">
                  <c:v>旅游服务</c:v>
                </c:pt>
                <c:pt idx="6">
                  <c:v>通信服务</c:v>
                </c:pt>
                <c:pt idx="7">
                  <c:v>互联网服务</c:v>
                </c:pt>
                <c:pt idx="8">
                  <c:v>公共设施服务</c:v>
                </c:pt>
                <c:pt idx="9">
                  <c:v>卫生保健服务</c:v>
                </c:pt>
                <c:pt idx="10">
                  <c:v>邮政业服务</c:v>
                </c:pt>
                <c:pt idx="11">
                  <c:v>保险服务</c:v>
                </c:pt>
                <c:pt idx="12">
                  <c:v>银行服务</c:v>
                </c:pt>
              </c:strCache>
            </c:strRef>
          </c:cat>
          <c:val>
            <c:numRef>
              <c:f>Sheet1!$B$5:$N$5</c:f>
              <c:numCache>
                <c:formatCode>General</c:formatCode>
                <c:ptCount val="13"/>
              </c:numCache>
            </c:numRef>
          </c:val>
        </c:ser>
        <c:dLbls>
          <c:showLegendKey val="0"/>
          <c:showVal val="1"/>
          <c:showCatName val="0"/>
          <c:showSerName val="0"/>
          <c:showPercent val="0"/>
          <c:showBubbleSize val="0"/>
        </c:dLbls>
        <c:gapWidth val="150"/>
        <c:overlap val="100"/>
        <c:axId val="338733312"/>
        <c:axId val="338964480"/>
      </c:barChart>
      <c:catAx>
        <c:axId val="338733312"/>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270000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38964480"/>
        <c:crosses val="autoZero"/>
        <c:auto val="1"/>
        <c:lblAlgn val="ctr"/>
        <c:lblOffset val="100"/>
        <c:tickLblSkip val="1"/>
        <c:noMultiLvlLbl val="0"/>
      </c:catAx>
      <c:valAx>
        <c:axId val="338964480"/>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3873331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9525" cap="flat" cmpd="sng" algn="ctr">
      <a:noFill/>
      <a:prstDash val="solid"/>
      <a:round/>
    </a:ln>
  </c:spPr>
  <c:txPr>
    <a:bodyPr/>
    <a:lstStyle/>
    <a:p>
      <a:pPr>
        <a:defRPr lang="zh-CN" sz="172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Lenovo</Company>
  <Pages>11</Pages>
  <Words>758</Words>
  <Characters>4323</Characters>
  <Lines>36</Lines>
  <Paragraphs>10</Paragraphs>
  <TotalTime>59</TotalTime>
  <ScaleCrop>false</ScaleCrop>
  <LinksUpToDate>false</LinksUpToDate>
  <CharactersWithSpaces>5071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2022-09-30T19:34:00Z</dcterms:created>
  <dc:creator>Lenovo</dc:creator>
  <cp:lastModifiedBy>暮晖</cp:lastModifiedBy>
  <cp:lastPrinted>2023-09-27T23:10:00Z</cp:lastPrinted>
  <dcterms:modified xsi:type="dcterms:W3CDTF">2023-10-13T07:47:54Z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7F47D488089747B5ADD662EBD9C66064_13</vt:lpwstr>
  </property>
</Properties>
</file>