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头条、本网-综合资讯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eastAsia="zh-CN"/>
        </w:rPr>
        <w:t>朝天区五举措提升旅游景区餐饮质量安全保障水平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为切实保障旅游景区餐饮食品安全，助力曾家山创建国家级旅游度假区，加快建设全国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知名生态康养度假和大蜀道国际文化旅游目的地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，日前，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围绕创建国家食品安全示范城市和省级食品安全示范区目标，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“五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提升旅游景区餐饮质量安全水平。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"/>
          <w:sz w:val="32"/>
          <w:szCs w:val="32"/>
        </w:rPr>
        <w:t>构建综合长效监管机制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出台了《曾家山创建国家级旅游度假区实施方案》、《曾家山旅游度假区服务质量提升任务清单》，区文化旅游产业发展领导小组办公室印发了《朝天区2023年旅游旺季服务保障工作方案》，成立了旅游旺季服务保障工作领导小组，全面加强景点景区、餐饮酒店等行业管理，统一领导和负责全区旅游景区餐饮质量安全保障、旅游市场秩序整治和突发事件应对处置等工作。开展“你点我检、你送我检、你点我查”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增强监管的针对性和有效性，提高监管效能，筑牢景区食品安全屏障。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深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化“两个责任”落实。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全区302名区、乡、村三级</w:t>
      </w:r>
      <w:r>
        <w:rPr>
          <w:rFonts w:hint="eastAsia" w:ascii="仿宋_GB2312" w:hAnsi="仿宋_GB2312" w:eastAsia="仿宋_GB2312" w:cs="仿宋_GB2312"/>
          <w:sz w:val="32"/>
          <w:szCs w:val="32"/>
        </w:rPr>
        <w:t>包保干部</w:t>
      </w:r>
      <w:r>
        <w:rPr>
          <w:rFonts w:hint="eastAsia" w:ascii="仿宋_GB2312" w:eastAsia="仿宋_GB2312" w:cs="Times New Roman"/>
          <w:snapToGrid/>
          <w:spacing w:val="0"/>
          <w:kern w:val="21"/>
          <w:sz w:val="32"/>
          <w:szCs w:val="32"/>
          <w:lang w:val="en-US" w:eastAsia="zh-CN" w:bidi="ar"/>
        </w:rPr>
        <w:t>按照“三单一书”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定期开展食品安全督导检查，及时排查和消除食品安全风险隐患，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季度督导率和问题整改率均达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100%。制定主体责任、日管控、周排查“三张清单”，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强化食品安全责任意识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景点</w:t>
      </w:r>
      <w:r>
        <w:rPr>
          <w:rFonts w:hint="eastAsia" w:ascii="仿宋_GB2312" w:hAnsi="仿宋_GB2312" w:eastAsia="仿宋_GB2312" w:cs="仿宋_GB2312"/>
          <w:sz w:val="32"/>
          <w:szCs w:val="32"/>
        </w:rPr>
        <w:t>及周边餐饮服务提供者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落实食品安全主体责任，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日管控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、周排查、月调度制度。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组织开展食品安全知识培训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5场次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培训农家乐、民宿等食品经营单位193家，线上线下考核230人次，合格率94%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强化标准化示范引领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采取“整治一批、引导一批、规范一批、提升一批”的方式，</w:t>
      </w:r>
      <w:r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以汉王老街、华美达酒店、芷筑温泉酒店、养生苑酒店等为重点，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升级改造厨房硬件设施，改善就餐场所环境</w:t>
      </w:r>
      <w:r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，针对餐饮食品加工处理不同流程、加工区域、食品种类、工用具等推行红、蓝、绿、黄分色管理，着力提升管理服务质量，全面提升食品安全风险防控能力。打造标准化餐饮示范街和示范店，发挥试点先行和典型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促使旅游景区周边农家乐、民宿、小餐饮等经营主体餐饮安全质量得到稳步提升。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建立“互联网+”智慧监管体系。</w:t>
      </w:r>
      <w:r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借力“互联网+”、大数据等现代信息技术，着眼问题发现、研判、追踪、处置，市场监管、农业、文旅、公安信息共享，推动“传统监管”向“智慧监管”迭代升级，保障“从田间到餐桌”的全程可控。建立“阳光餐饮”智慧监管平台，“互联网+明厨亮灶”食品安全智慧监管在重点景区景点实现全覆盖，主动公开后厨加工操作过程，向游客展示食品加工制作关键过程，平台主体浏览达138730人次，单店浏览量达9043人次，通过社会监督来提升食品安全和环境卫生质量。</w:t>
      </w:r>
    </w:p>
    <w:p>
      <w:pPr>
        <w:spacing w:before="200" w:line="335" w:lineRule="auto"/>
        <w:ind w:right="102" w:firstLine="664" w:firstLineChars="200"/>
        <w:jc w:val="both"/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推动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景区</w:t>
      </w:r>
      <w:r>
        <w:rPr>
          <w:rFonts w:hint="eastAsia" w:ascii="黑体" w:hAnsi="黑体" w:eastAsia="黑体" w:cs="黑体"/>
          <w:spacing w:val="6"/>
          <w:sz w:val="32"/>
          <w:szCs w:val="32"/>
        </w:rPr>
        <w:t>餐饮品牌化发展。</w:t>
      </w:r>
      <w:r>
        <w:rPr>
          <w:rFonts w:hint="eastAsia" w:ascii="仿宋_GB2312" w:hAnsi="仿宋_GB2312" w:eastAsia="仿宋_GB2312" w:cs="仿宋_GB2312"/>
          <w:b w:val="0"/>
          <w:snapToGrid/>
          <w:color w:val="000000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val="en-US" w:eastAsia="zh-CN" w:bidi="ar-SA"/>
        </w:rPr>
        <w:t>打造特色餐饮集聚区，挖掘本地餐饮特色，将养生文化融入饮食文化，制定了《曾家山地方菜系标准》，编制《曾家山菜系食谱》，推出极具地方特色的十大碗，“曾家山菜系”菜品100余种，对餐饮店环境、菜品、风味、服务质量等实行等级管理制度，打造“曾家山菜系示范店”品牌店15家，培育特色餐饮店16家。成功举办第十三届大蜀道国际文化旅游节系列活动——2023“广元美味”餐饮评比大赛暨曾家山美食周活动，举行了首批“广元老字号”称号企业、“曾家山菜系示范店”、“曾家山必尝菜品” 授牌，邀请美食达人作“曾家山必尝菜品推介”，“曾家山菜系”金字招牌日益显现。（记者杨威）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6F7034-73D6-4EFB-BFF4-6D064094D5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C00AB29F-562A-4145-A243-A6C2AE9E4B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687D6F-E18F-4699-B7DA-8160ABF054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BC772A4-9865-44BC-AEF9-B339F9CDF0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00000000"/>
    <w:rsid w:val="10545A22"/>
    <w:rsid w:val="2ED05078"/>
    <w:rsid w:val="4AF118C5"/>
    <w:rsid w:val="4CB56787"/>
    <w:rsid w:val="4CEF2C43"/>
    <w:rsid w:val="5435632B"/>
    <w:rsid w:val="56777341"/>
    <w:rsid w:val="5D8F475E"/>
    <w:rsid w:val="70DA1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1306</Words>
  <Characters>1335</Characters>
  <Lines>0</Lines>
  <Paragraphs>0</Paragraphs>
  <TotalTime>0</TotalTime>
  <ScaleCrop>false</ScaleCrop>
  <LinksUpToDate>false</LinksUpToDate>
  <CharactersWithSpaces>1336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2023-11-10T07:29:30Z</dcterms:created>
  <dc:creator>Administrator</dc:creator>
  <cp:lastModifiedBy>超级胖懒懒</cp:lastModifiedBy>
  <cp:lastPrinted>2023-11-13T01:18:47Z</cp:lastPrinted>
  <dcterms:modified xsi:type="dcterms:W3CDTF">2023-11-13T08:29:17Z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C28D679C7567496683ECA3FA8412DF15</vt:lpwstr>
  </property>
</Properties>
</file>