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“县域经济高质量发展”系列主题新闻发布会第三场召开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看川中丘陵走出“射洪实践”</w:t>
      </w:r>
    </w:p>
    <w:p>
      <w:pPr>
        <w:ind w:firstLine="422" w:firstLineChars="20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消费质量报讯（见习记者 何馥君）1</w:t>
      </w:r>
      <w:r>
        <w:rPr>
          <w:rFonts w:hint="eastAsia"/>
          <w:lang w:val="en-US" w:eastAsia="zh-CN"/>
        </w:rPr>
        <w:t>1月14日，由四川省新闻办举行的“县域经济高质量发展”系列主题新闻发布会第三场遂宁市·射洪市专场在蓉召开。射洪市相关负责人就当地发展情况进行讲述，并答记者问。</w:t>
      </w:r>
      <w:bookmarkStart w:id="0" w:name="_GoBack"/>
      <w:bookmarkEnd w:id="0"/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射洪位于成渝发展主轴北弧中心，涪江中游，近年来，射洪把推进县域经济高质量发展作为首要任务，按照“对标竞进、创新担当，做强工业、美丽城乡，提速交通、扩大消费，建设八区、奋进百强”三十二字工作总思路，全力以赴拼经济、搞建设。“近三年，地区生产总值、工业总产值连跨三个百亿台阶、双双超过500亿元，全口径税收突破55亿元、一般公共预算收入达30亿元，均实现增长翻番，摘得中国白酒之乡等国省级名片上百张，在川中丘陵地区走出了一条县域经济高质量发展的‘射洪实践’。”射洪市委副书记、市长王能介绍道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射洪市高质量发展离不开当地在现代化产业、乡村建设、服务业态以及兴业环境4个方面实践。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现代化产业方面，射洪坚持“工业强市”不动摇，大力实施“千亿产业、千亿园区、百亿企业、上市公司”培育计划，2022年工业总产值突破550亿元，增长60%。其中包括推进锂电产业集群建设、成立四川沱牌绿色生态食品产业园，组建川酒第五大产区——川东北产区、布局天然气净化厂和精细化工项目，打造千亿基地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建设更有活力的现代乡村，射洪以县域经济高质量发展促进城乡融合试点为契机，注重点面结合，打造“十里酒粮”牛心村等11个精品村，获评省级乡村旅游重点村1个、天府旅游名村1个、省级乡村振兴示范村5个；以天府粮仓“射洪分仓”为统揽，扩大63万亩高标准农田等优势，入选国家农业现代化示范区、国家农村产业融合发展示范园、国家乡村振兴示范县名单；创新治理模式，实现“小事不出村，大事不出镇”。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作为全省服务业强县示范县，射洪坚持把恢复和扩大消费摆在突出位置</w:t>
      </w:r>
      <w:r>
        <w:rPr>
          <w:rFonts w:hint="eastAsia"/>
          <w:lang w:val="en-US" w:eastAsia="zh-CN"/>
        </w:rPr>
        <w:t>，子昂国际诗歌周、全国全民健身走（跑）大赛等文旅活动接连开展，今年国庆，双江村豫园灯会2天6次获央视聚焦，吸引周边游客20万人次；投资30亿元推动城市更新，入选省级城市更新试点、新型城镇化试点；持续优化服务供给。</w:t>
      </w:r>
    </w:p>
    <w:p>
      <w:pPr>
        <w:tabs>
          <w:tab w:val="left" w:pos="2302"/>
          <w:tab w:val="center" w:pos="4153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此外，在射洪在打造兴业环境方面，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始终秉承“店小二”服务理念，建设创新基地、就业高地，打造创业福地，构筑投资洼地努力营造良好的政策和制度环境。</w:t>
      </w:r>
    </w:p>
    <w:p>
      <w:pPr>
        <w:tabs>
          <w:tab w:val="left" w:pos="2302"/>
          <w:tab w:val="center" w:pos="4153"/>
        </w:tabs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下一步，射洪将乘着全省县域经济高质量发展促进城乡融合试点东风，加快建设成渝中部地区生产总值、规上工业总产值“双千亿”县，谱写发展新篇章。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44E80019"/>
    <w:rsid w:val="360D5FB4"/>
    <w:rsid w:val="44E8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2023-11-14T11:32:00Z</dcterms:created>
  <dc:creator>9-8</dc:creator>
  <cp:lastModifiedBy>暮晖</cp:lastModifiedBy>
  <dcterms:modified xsi:type="dcterms:W3CDTF">2023-11-15T06:35:56Z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8699B718259046F8983F10909F079AAD_13</vt:lpwstr>
  </property>
</Properties>
</file>