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before="157" w:after="157" w:line="576" w:lineRule="exact"/>
        <w:jc w:val="center"/>
        <w:rPr>
          <w:rFonts w:hint="eastAsia" w:ascii="方正小标宋简体" w:hAnsi="方正小标宋简体" w:eastAsia="方正小标宋简体"/>
          <w:sz w:val="44"/>
          <w:szCs w:val="44"/>
          <w:lang w:val="en-US" w:eastAsia="zh-CN"/>
        </w:rPr>
      </w:pPr>
      <w:r>
        <w:rPr>
          <w:rFonts w:hint="eastAsia" w:ascii="方正小标宋简体" w:hAnsi="方正小标宋简体" w:eastAsia="方正小标宋简体"/>
          <w:sz w:val="44"/>
          <w:szCs w:val="44"/>
          <w:lang w:val="en-US" w:eastAsia="zh-CN"/>
        </w:rPr>
        <w:t>省市场监管局知识产权规划发展处处长周广平到三台县调研</w:t>
      </w:r>
    </w:p>
    <w:p>
      <w:pPr>
        <w:spacing w:line="480" w:lineRule="auto"/>
        <w:ind w:firstLine="592" w:firstLineChars="200"/>
        <w:jc w:val="both"/>
        <w:rPr>
          <w:rFonts w:hint="eastAsia" w:eastAsia="宋体"/>
          <w:spacing w:val="8"/>
          <w:kern w:val="2"/>
          <w:sz w:val="28"/>
        </w:rPr>
      </w:pPr>
      <w:r>
        <w:rPr>
          <w:rFonts w:hint="eastAsia" w:eastAsia="宋体"/>
          <w:spacing w:val="8"/>
          <w:kern w:val="2"/>
          <w:sz w:val="28"/>
        </w:rPr>
        <w:t>消费质量报讯（</w:t>
      </w:r>
      <w:r>
        <w:rPr>
          <w:rFonts w:hint="eastAsia" w:eastAsia="宋体"/>
          <w:spacing w:val="8"/>
          <w:kern w:val="2"/>
          <w:sz w:val="28"/>
          <w:lang w:val="en-US" w:eastAsia="zh-CN"/>
        </w:rPr>
        <w:t xml:space="preserve"> 陈姿君 李毓姝</w:t>
      </w:r>
      <w:r>
        <w:rPr>
          <w:rFonts w:hint="eastAsia" w:eastAsia="宋体"/>
          <w:spacing w:val="8"/>
          <w:kern w:val="2"/>
          <w:sz w:val="28"/>
        </w:rPr>
        <w:t>记者何军）</w:t>
      </w:r>
      <w:r>
        <w:rPr>
          <w:rFonts w:hint="eastAsia" w:eastAsia="宋体"/>
          <w:spacing w:val="8"/>
          <w:kern w:val="2"/>
          <w:sz w:val="28"/>
          <w:lang w:val="en-US" w:eastAsia="zh-CN"/>
        </w:rPr>
        <w:t>11月13日，四川省市场监督管理局知识产权规划发展处处长周广平一行到</w:t>
      </w:r>
      <w:r>
        <w:rPr>
          <w:rFonts w:hint="eastAsia"/>
          <w:spacing w:val="8"/>
          <w:kern w:val="2"/>
          <w:sz w:val="28"/>
          <w:lang w:val="en-US" w:eastAsia="zh-CN"/>
        </w:rPr>
        <w:t>绵阳市三台</w:t>
      </w:r>
      <w:r>
        <w:rPr>
          <w:rFonts w:hint="eastAsia" w:eastAsia="宋体"/>
          <w:spacing w:val="8"/>
          <w:kern w:val="2"/>
          <w:sz w:val="28"/>
          <w:lang w:val="en-US" w:eastAsia="zh-CN"/>
        </w:rPr>
        <w:t>县开展收集基层、群众和企业对知识产权工作的意见和建议蹲点调研工作，绵阳市市场监督管理局、三台县市场监督管理局有关负责人陪同并参加座谈会。</w:t>
      </w:r>
    </w:p>
    <w:p>
      <w:pPr>
        <w:spacing w:line="480" w:lineRule="auto"/>
        <w:ind w:firstLine="592" w:firstLineChars="200"/>
        <w:jc w:val="both"/>
        <w:rPr>
          <w:rFonts w:hint="eastAsia" w:eastAsia="宋体"/>
          <w:spacing w:val="8"/>
          <w:kern w:val="2"/>
          <w:sz w:val="28"/>
          <w:lang w:val="en-US" w:eastAsia="zh-CN"/>
        </w:rPr>
      </w:pPr>
      <w:r>
        <w:rPr>
          <w:rFonts w:hint="eastAsia" w:eastAsia="宋体"/>
          <w:spacing w:val="8"/>
          <w:kern w:val="2"/>
          <w:sz w:val="28"/>
          <w:lang w:val="en-US" w:eastAsia="zh-CN"/>
        </w:rPr>
        <w:t>三台县市场监管局对</w:t>
      </w:r>
      <w:r>
        <w:rPr>
          <w:rFonts w:hint="eastAsia"/>
          <w:spacing w:val="8"/>
          <w:kern w:val="2"/>
          <w:sz w:val="28"/>
          <w:lang w:val="en-US" w:eastAsia="zh-CN"/>
        </w:rPr>
        <w:t>该</w:t>
      </w:r>
      <w:r>
        <w:rPr>
          <w:rFonts w:hint="eastAsia" w:eastAsia="宋体"/>
          <w:spacing w:val="8"/>
          <w:kern w:val="2"/>
          <w:sz w:val="28"/>
          <w:lang w:val="en-US" w:eastAsia="zh-CN"/>
        </w:rPr>
        <w:t>县2023年知识产权工作开展情况及本周蹲点工作内容进行汇报。绵阳市市场监督管理局向省知识产权规划发展处汇报绵阳市知识产权工作存在的问题短板，同时也希望三台县市场监管局搜集企业相关问题，为接下来的企业座谈会打好基础。</w:t>
      </w:r>
    </w:p>
    <w:p>
      <w:pPr>
        <w:spacing w:line="480" w:lineRule="auto"/>
        <w:ind w:firstLine="592" w:firstLineChars="200"/>
        <w:jc w:val="both"/>
        <w:rPr>
          <w:rFonts w:hint="eastAsia" w:eastAsia="宋体"/>
          <w:spacing w:val="8"/>
          <w:kern w:val="2"/>
          <w:sz w:val="28"/>
          <w:lang w:val="en-US" w:eastAsia="zh-CN"/>
        </w:rPr>
      </w:pPr>
      <w:r>
        <w:rPr>
          <w:rFonts w:hint="eastAsia" w:eastAsia="宋体"/>
          <w:spacing w:val="8"/>
          <w:kern w:val="2"/>
          <w:sz w:val="28"/>
          <w:lang w:val="en-US" w:eastAsia="zh-CN"/>
        </w:rPr>
        <w:t>绵阳市市场监管局副局长王智勇强调，知识产权对经济发展的推动极为重要，三台县市场监管局要利用此次蹲点调研的机会吸收好能量，助推三台县知识产权发展。</w:t>
      </w:r>
    </w:p>
    <w:p>
      <w:pPr>
        <w:spacing w:line="480" w:lineRule="auto"/>
        <w:ind w:firstLine="592" w:firstLineChars="200"/>
        <w:jc w:val="both"/>
        <w:rPr>
          <w:rFonts w:hint="eastAsia" w:eastAsia="宋体"/>
          <w:spacing w:val="8"/>
          <w:kern w:val="2"/>
          <w:sz w:val="28"/>
          <w:lang w:val="en-US" w:eastAsia="zh-CN"/>
        </w:rPr>
      </w:pPr>
      <w:r>
        <w:rPr>
          <w:rFonts w:hint="eastAsia" w:eastAsia="宋体"/>
          <w:spacing w:val="8"/>
          <w:kern w:val="2"/>
          <w:sz w:val="28"/>
          <w:lang w:val="en-US" w:eastAsia="zh-CN"/>
        </w:rPr>
        <w:t>三台县市场监管局副局长羊波表示，</w:t>
      </w:r>
      <w:r>
        <w:rPr>
          <w:rFonts w:hint="eastAsia"/>
          <w:spacing w:val="8"/>
          <w:kern w:val="2"/>
          <w:sz w:val="28"/>
          <w:lang w:val="en-US" w:eastAsia="zh-CN"/>
        </w:rPr>
        <w:t>该</w:t>
      </w:r>
      <w:r>
        <w:rPr>
          <w:rFonts w:hint="eastAsia" w:eastAsia="宋体"/>
          <w:spacing w:val="8"/>
          <w:kern w:val="2"/>
          <w:sz w:val="28"/>
          <w:lang w:val="en-US" w:eastAsia="zh-CN"/>
        </w:rPr>
        <w:t>县将继续加强知识产权保护工作，</w:t>
      </w:r>
      <w:r>
        <w:rPr>
          <w:rFonts w:eastAsia="宋体"/>
          <w:spacing w:val="8"/>
          <w:kern w:val="2"/>
          <w:sz w:val="28"/>
          <w:lang w:val="en-US" w:eastAsia="zh-CN"/>
        </w:rPr>
        <w:t>强化执法办案</w:t>
      </w:r>
      <w:r>
        <w:rPr>
          <w:rFonts w:hint="eastAsia" w:eastAsia="宋体"/>
          <w:spacing w:val="8"/>
          <w:kern w:val="2"/>
          <w:sz w:val="28"/>
          <w:lang w:val="en-US" w:eastAsia="zh-CN"/>
        </w:rPr>
        <w:t>，</w:t>
      </w:r>
      <w:r>
        <w:rPr>
          <w:rFonts w:eastAsia="宋体"/>
          <w:spacing w:val="8"/>
          <w:kern w:val="2"/>
          <w:sz w:val="28"/>
          <w:lang w:val="en-US" w:eastAsia="zh-CN"/>
        </w:rPr>
        <w:t>提升地理标志产品保护和</w:t>
      </w:r>
      <w:r>
        <w:rPr>
          <w:rFonts w:hint="eastAsia" w:eastAsia="宋体"/>
          <w:spacing w:val="8"/>
          <w:kern w:val="2"/>
          <w:sz w:val="28"/>
          <w:lang w:val="en-US" w:eastAsia="zh-CN"/>
        </w:rPr>
        <w:t>发展的</w:t>
      </w:r>
      <w:r>
        <w:rPr>
          <w:rFonts w:eastAsia="宋体"/>
          <w:spacing w:val="8"/>
          <w:kern w:val="2"/>
          <w:sz w:val="28"/>
          <w:lang w:val="en-US" w:eastAsia="zh-CN"/>
        </w:rPr>
        <w:t>能力，巩固拓展脱贫攻坚成果，助力乡村振兴，服务地方特色经济高质量发展。</w:t>
      </w:r>
    </w:p>
    <w:p>
      <w:pPr>
        <w:spacing w:line="480" w:lineRule="auto"/>
        <w:ind w:firstLine="592" w:firstLineChars="200"/>
        <w:jc w:val="both"/>
        <w:rPr>
          <w:rFonts w:hint="eastAsia" w:eastAsia="宋体"/>
          <w:spacing w:val="8"/>
          <w:kern w:val="2"/>
          <w:sz w:val="28"/>
          <w:lang w:val="en-US" w:eastAsia="zh-CN"/>
        </w:rPr>
      </w:pPr>
      <w:r>
        <w:rPr>
          <w:rFonts w:hint="eastAsia" w:eastAsia="宋体"/>
          <w:spacing w:val="8"/>
          <w:kern w:val="2"/>
          <w:sz w:val="28"/>
          <w:lang w:val="en-US" w:eastAsia="zh-CN"/>
        </w:rPr>
        <w:t>最后，周广平强调，要</w:t>
      </w:r>
      <w:r>
        <w:rPr>
          <w:rFonts w:eastAsia="宋体"/>
          <w:spacing w:val="8"/>
          <w:kern w:val="2"/>
          <w:sz w:val="28"/>
          <w:lang w:val="en-US" w:eastAsia="zh-CN"/>
        </w:rPr>
        <w:t>坚持高水平保护</w:t>
      </w:r>
      <w:r>
        <w:rPr>
          <w:rFonts w:hint="eastAsia" w:eastAsia="宋体"/>
          <w:spacing w:val="8"/>
          <w:kern w:val="2"/>
          <w:sz w:val="28"/>
          <w:lang w:val="en-US" w:eastAsia="zh-CN"/>
        </w:rPr>
        <w:t>，要</w:t>
      </w:r>
      <w:r>
        <w:rPr>
          <w:rFonts w:eastAsia="宋体"/>
          <w:spacing w:val="8"/>
          <w:kern w:val="2"/>
          <w:sz w:val="28"/>
          <w:lang w:val="en-US" w:eastAsia="zh-CN"/>
        </w:rPr>
        <w:t>以建立大保护工作格局，实现严格保护、高效保护、同等保护、智慧保护为目标</w:t>
      </w:r>
      <w:r>
        <w:rPr>
          <w:rFonts w:hint="eastAsia" w:eastAsia="宋体"/>
          <w:spacing w:val="8"/>
          <w:kern w:val="2"/>
          <w:sz w:val="28"/>
          <w:lang w:val="en-US" w:eastAsia="zh-CN"/>
        </w:rPr>
        <w:t>，增强基础</w:t>
      </w:r>
      <w:r>
        <w:rPr>
          <w:rFonts w:eastAsia="宋体"/>
          <w:spacing w:val="8"/>
          <w:kern w:val="2"/>
          <w:sz w:val="28"/>
          <w:lang w:val="en-US" w:eastAsia="zh-CN"/>
        </w:rPr>
        <w:t>统筹</w:t>
      </w:r>
      <w:r>
        <w:rPr>
          <w:rFonts w:hint="eastAsia" w:eastAsia="宋体"/>
          <w:spacing w:val="8"/>
          <w:kern w:val="2"/>
          <w:sz w:val="28"/>
          <w:lang w:val="en-US" w:eastAsia="zh-CN"/>
        </w:rPr>
        <w:t>能力、</w:t>
      </w:r>
      <w:r>
        <w:rPr>
          <w:rFonts w:eastAsia="宋体"/>
          <w:spacing w:val="8"/>
          <w:kern w:val="2"/>
          <w:sz w:val="28"/>
          <w:lang w:val="en-US" w:eastAsia="zh-CN"/>
        </w:rPr>
        <w:t>协调</w:t>
      </w:r>
      <w:r>
        <w:rPr>
          <w:rFonts w:hint="eastAsia" w:eastAsia="宋体"/>
          <w:spacing w:val="8"/>
          <w:kern w:val="2"/>
          <w:sz w:val="28"/>
          <w:lang w:val="en-US" w:eastAsia="zh-CN"/>
        </w:rPr>
        <w:t>能力。</w:t>
      </w:r>
    </w:p>
    <w:p>
      <w:pPr>
        <w:ind w:firstLine="640" w:firstLineChars="200"/>
        <w:jc w:val="right"/>
        <w:rPr>
          <w:rFonts w:hint="eastAsia" w:ascii="仿宋_GB2312" w:hAnsi="仿宋_GB2312" w:eastAsia="仿宋_GB2312"/>
          <w:sz w:val="32"/>
          <w:szCs w:val="32"/>
          <w:lang w:val="en-US" w:eastAsia="zh-CN"/>
        </w:rPr>
      </w:pPr>
      <w:bookmarkStart w:id="0" w:name="_GoBack"/>
      <w:bookmarkEnd w:id="0"/>
      <w:r>
        <w:rPr>
          <w:rFonts w:hint="eastAsia" w:ascii="仿宋_GB2312" w:hAnsi="仿宋_GB2312" w:eastAsia="仿宋_GB2312"/>
          <w:sz w:val="32"/>
          <w:szCs w:val="32"/>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3BA643B4-894F-4603-BDF3-DCFA13A2B460}"/>
  </w:font>
  <w:font w:name="仿宋_GB2312">
    <w:altName w:val="仿宋"/>
    <w:panose1 w:val="02010609030101010101"/>
    <w:charset w:val="86"/>
    <w:family w:val="auto"/>
    <w:pitch w:val="default"/>
    <w:sig w:usb0="00000000" w:usb1="00000000" w:usb2="00000000" w:usb3="00000000" w:csb0="00040000" w:csb1="00000000"/>
    <w:embedRegular r:id="rId2" w:fontKey="{E17C8F46-26BE-41D2-B8BE-9F986FAAACE5}"/>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documentProtection w:enforcement="0"/>
  <w:defaultTabStop w:val="420"/>
  <w:displayHorizontalDrawingGridEvery w:val="0"/>
  <w:displayVerticalDrawingGridEvery w:val="2"/>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EE00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默认段落字体1"/>
    <w:link w:val="1"/>
    <w:semiHidden/>
    <w:uiPriority w:val="0"/>
  </w:style>
  <w:style w:type="table" w:customStyle="1" w:styleId="5">
    <w:name w:val="普通表格1"/>
    <w:semiHidden/>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2023-11-15T07:37:14Z</dcterms:created>
  <dc:creator>暮晖</dc:creator>
  <cp:lastModifiedBy>暮晖</cp:lastModifiedBy>
  <dcterms:modified xsi:type="dcterms:W3CDTF">2023-11-15T07:37:42Z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DA855FD5B5CF46509BF938A995936531_12</vt:lpwstr>
  </property>
</Properties>
</file>