
<file path=[Content_Types].xml><?xml version="1.0" encoding="utf-8"?>
<Types xmlns="http://schemas.openxmlformats.org/package/2006/content-types">
  <Default Extension="png" ContentType="image/png"/>
  <Default Extension="jpeg" ContentType="image/jpeg"/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media/image1.jpe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media/image1.png" ContentType="image/png"/>
  <Override PartName="/word/media/image6.jpeg" ContentType="image/jpeg"/>
  <Override PartName="/word/media/image3.jpeg" ContentType="image/jpeg"/>
  <Override PartName="/word/fontTable.xml" ContentType="application/vnd.openxmlformats-officedocument.wordprocessingml.fontTable+xml"/>
  <Override PartName="/word/media/image4.jpeg" ContentType="image/jpeg"/>
  <Override PartName="/word/media/image2.jpeg" ContentType="image/jpeg"/>
  <Override PartName="/docProps/core.xml" ContentType="application/vnd.openxmlformats-package.core-properties+xml"/>
  <Override PartName="/word/styles.xml" ContentType="application/vnd.openxmlformats-officedocument.wordprocessingml.styles+xml"/>
  <Override PartName="/word/media/image5.jpeg" ContentType="image/jpeg"/>
  <Override PartName="/word/media/image7.jpeg" ContentType="image/jpeg"/>
  <Override PartName="/word/media/image8.jpeg" ContentType="image/jpeg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custom-properties" Target="docProps/custom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ps="http://schemas.microsoft.com/office/word/2010/wordprocessingShape" xmlns:wne="http://schemas.microsoft.com/office/word/2006/wordml" xmlns:wpg="http://schemas.microsoft.com/office/word/2010/wordprocessingGroup" xmlns:w15="http://schemas.microsoft.com/office/word/2012/wordml" xmlns:wpi="http://schemas.microsoft.com/office/word/2010/wordprocessingInk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body>
    <w:p>
      <w:pPr>
        <w:jc w:val="center"/>
        <w:numPr>
          <w:ilvl w:val="0"/>
          <w:numId w:val="0"/>
        </w:numPr>
        <w:rPr>
          <w:rFonts w:ascii="微软雅黑" w:hAnsi="微软雅黑" w:eastAsia="微软雅黑" w:cs="微软雅黑" w:hint="eastAsia"/>
        </w:rPr>
      </w:pPr>
    </w:p>
    <w:p>
      <w:pPr>
        <w:jc w:val="center"/>
        <w:rPr>
          <w:sz w:val="22"/>
          <w:szCs w:val="28"/>
        </w:rPr>
      </w:pPr>
    </w:p>
    <w:p>
      <w:pPr>
        <w:jc w:val="center"/>
        <w:rPr>
          <w:b w:val="1"/>
          <w:sz w:val="28"/>
          <w:lang w:val="en-US" w:eastAsia="zh-CN"/>
          <w:bCs/>
          <w:szCs w:val="36"/>
          <w:rFonts w:ascii="微软雅黑" w:hAnsi="微软雅黑" w:eastAsia="微软雅黑" w:cs="微软雅黑" w:hint="eastAsia"/>
        </w:rPr>
      </w:pPr>
      <w:r>
        <w:rPr>
          <w:b w:val="1"/>
          <w:sz w:val="28"/>
          <w:lang w:val="en-US" w:eastAsia="zh-CN"/>
          <w:bCs/>
          <w:szCs w:val="36"/>
          <w:rFonts w:ascii="微软雅黑" w:hAnsi="微软雅黑" w:eastAsia="微软雅黑" w:cs="微软雅黑" w:hint="eastAsia"/>
        </w:rPr>
        <w:t>仅15天热销1.5亿，龙湖铂金岛席卷成都商业！</w:t>
      </w:r>
    </w:p>
    <w:p>
      <w:pPr>
        <w:jc w:val="left"/>
        <w:rPr>
          <w:lang w:eastAsia="zh-CN"/>
          <w:rFonts w:ascii="微软雅黑" w:hAnsi="微软雅黑" w:eastAsia="微软雅黑" w:cs="微软雅黑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pacing w:line="360" w:lineRule="auto"/>
        <w:ind w:firstLine="480" w:firstLineChars="200"/>
        <w:rPr>
          <w:sz w:val="24"/>
          <w:lang w:eastAsia="zh-CN"/>
          <w:szCs w:val="24"/>
          <w:rFonts w:ascii="微软雅黑" w:hAnsi="微软雅黑" w:eastAsia="微软雅黑" w:cs="微软雅黑" w:hint="eastAsia"/>
        </w:rPr>
      </w:pPr>
      <w:r>
        <w:rPr>
          <w:sz w:val="24"/>
          <w:lang w:val="en-US" w:eastAsia="zh-CN"/>
          <w:szCs w:val="24"/>
          <w:rFonts w:ascii="微软雅黑" w:hAnsi="微软雅黑" w:eastAsia="微软雅黑" w:cs="微软雅黑" w:hint="eastAsia"/>
        </w:rPr>
        <w:t>龙湖光年铂金岛自11月面市</w:t>
      </w:r>
      <w:r>
        <w:rPr>
          <w:sz w:val="24"/>
          <w:lang w:eastAsia="zh-CN"/>
          <w:szCs w:val="24"/>
          <w:rFonts w:ascii="微软雅黑" w:hAnsi="微软雅黑" w:eastAsia="微软雅黑" w:cs="微软雅黑" w:hint="eastAsia"/>
        </w:rPr>
        <w:t>以来，不负久待震撼热映，开盘持续“狂飙”，</w:t>
      </w:r>
      <w:r>
        <w:rPr>
          <w:sz w:val="24"/>
          <w:lang w:val="en-US" w:eastAsia="zh-CN"/>
          <w:szCs w:val="24"/>
          <w:rFonts w:ascii="微软雅黑" w:hAnsi="微软雅黑" w:eastAsia="微软雅黑" w:cs="微软雅黑" w:hint="eastAsia"/>
        </w:rPr>
        <w:t>单日最高</w:t>
      </w:r>
      <w:r>
        <w:rPr>
          <w:sz w:val="24"/>
          <w:szCs w:val="24"/>
          <w:rFonts w:ascii="微软雅黑" w:hAnsi="微软雅黑" w:eastAsia="微软雅黑" w:cs="微软雅黑" w:hint="eastAsia"/>
        </w:rPr>
        <w:t>来访超</w:t>
      </w:r>
      <w:r>
        <w:rPr>
          <w:sz w:val="24"/>
          <w:lang w:val="en-US" w:eastAsia="zh-CN"/>
          <w:szCs w:val="24"/>
          <w:rFonts w:ascii="微软雅黑" w:hAnsi="微软雅黑" w:eastAsia="微软雅黑" w:cs="微软雅黑" w:hint="eastAsia"/>
        </w:rPr>
        <w:t>3</w:t>
      </w:r>
      <w:r>
        <w:rPr>
          <w:sz w:val="24"/>
          <w:szCs w:val="24"/>
          <w:rFonts w:ascii="微软雅黑" w:hAnsi="微软雅黑" w:eastAsia="微软雅黑" w:cs="微软雅黑" w:hint="eastAsia"/>
        </w:rPr>
        <w:t>00组，</w:t>
      </w:r>
      <w:r>
        <w:rPr>
          <w:b w:val="1"/>
          <w:sz w:val="24"/>
          <w:lang w:eastAsia="zh-CN"/>
          <w:bCs/>
          <w:szCs w:val="24"/>
          <w:rFonts w:ascii="微软雅黑" w:hAnsi="微软雅黑" w:eastAsia="微软雅黑" w:cs="微软雅黑" w:hint="eastAsia"/>
        </w:rPr>
        <w:t>仅用</w:t>
      </w:r>
      <w:r>
        <w:rPr>
          <w:b w:val="1"/>
          <w:sz w:val="24"/>
          <w:lang w:val="en-US" w:eastAsia="zh-CN"/>
          <w:bCs/>
          <w:szCs w:val="24"/>
          <w:rFonts w:ascii="微软雅黑" w:hAnsi="微软雅黑" w:eastAsia="微软雅黑" w:cs="微软雅黑" w:hint="eastAsia"/>
        </w:rPr>
        <w:t>15天</w:t>
      </w:r>
      <w:r>
        <w:rPr>
          <w:b w:val="1"/>
          <w:sz w:val="24"/>
          <w:lang w:eastAsia="zh-CN"/>
          <w:bCs/>
          <w:szCs w:val="24"/>
          <w:rFonts w:ascii="微软雅黑" w:hAnsi="微软雅黑" w:eastAsia="微软雅黑" w:cs="微软雅黑" w:hint="eastAsia"/>
        </w:rPr>
        <w:t>热销约1.5亿，开盘去化</w:t>
      </w:r>
      <w:r>
        <w:rPr>
          <w:b w:val="1"/>
          <w:sz w:val="24"/>
          <w:lang w:val="en-US" w:eastAsia="zh-CN"/>
          <w:bCs/>
          <w:szCs w:val="24"/>
          <w:rFonts w:ascii="微软雅黑" w:hAnsi="微软雅黑" w:eastAsia="微软雅黑" w:cs="微软雅黑" w:hint="eastAsia"/>
        </w:rPr>
        <w:t>90</w:t>
      </w:r>
      <w:r>
        <w:rPr>
          <w:b w:val="1"/>
          <w:sz w:val="24"/>
          <w:lang w:eastAsia="zh-CN"/>
          <w:bCs/>
          <w:szCs w:val="24"/>
          <w:rFonts w:ascii="微软雅黑" w:hAnsi="微软雅黑" w:eastAsia="微软雅黑" w:cs="微软雅黑" w:hint="eastAsia"/>
        </w:rPr>
        <w:t>%，</w:t>
      </w:r>
      <w:r>
        <w:rPr>
          <w:b w:val="1"/>
          <w:sz w:val="24"/>
          <w:bCs/>
          <w:szCs w:val="24"/>
          <w:rFonts w:ascii="微软雅黑" w:hAnsi="微软雅黑" w:eastAsia="微软雅黑" w:cs="微软雅黑" w:hint="eastAsia"/>
        </w:rPr>
        <w:t>员工及业主自购超60%</w:t>
      </w:r>
      <w:r>
        <w:rPr>
          <w:b w:val="1"/>
          <w:sz w:val="24"/>
          <w:lang w:eastAsia="zh-CN"/>
          <w:bCs/>
          <w:szCs w:val="24"/>
          <w:rFonts w:ascii="微软雅黑" w:hAnsi="微软雅黑" w:eastAsia="微软雅黑" w:cs="微软雅黑" w:hint="eastAsia"/>
        </w:rPr>
        <w:t>。</w:t>
      </w:r>
      <w:r>
        <w:rPr>
          <w:sz w:val="24"/>
          <w:lang w:eastAsia="zh-CN"/>
          <w:szCs w:val="24"/>
          <w:rFonts w:ascii="微软雅黑" w:hAnsi="微软雅黑" w:eastAsia="微软雅黑" w:cs="微软雅黑" w:hint="eastAsia"/>
        </w:rPr>
        <w:drawing>
          <wp:inline distT="0" distB="0" distL="114300" distR="114300">
            <wp:extent cx="5265420" cy="1797050"/>
            <wp:effectExtent l="0" t="0" r="11430" b="12700"/>
            <wp:docPr id="1" name="图片 7" descr="add2ffd43c5231f208b4a76d010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dd2ffd43c5231f208b4a76d01029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pacing w:line="360" w:lineRule="auto"/>
        <w:ind w:firstLine="420" w:firstLineChars="200"/>
        <w:rPr>
          <w:i w:val="1"/>
          <w:sz w:val="21"/>
          <w:lang w:val="en-US" w:eastAsia="zh-CN"/>
          <w:iCs/>
          <w:szCs w:val="21"/>
          <w:rFonts w:ascii="微软雅黑" w:hAnsi="微软雅黑" w:eastAsia="微软雅黑" w:cs="微软雅黑" w:hint="default"/>
        </w:rPr>
      </w:pPr>
      <w:r>
        <w:rPr>
          <w:i w:val="1"/>
          <w:sz w:val="21"/>
          <w:lang w:val="en-US" w:eastAsia="zh-CN"/>
          <w:iCs/>
          <w:szCs w:val="21"/>
          <w:rFonts w:ascii="微软雅黑" w:hAnsi="微软雅黑" w:eastAsia="微软雅黑" w:cs="微软雅黑" w:hint="eastAsia"/>
        </w:rPr>
        <w:t>现场人气实拍图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pacing w:line="360" w:lineRule="auto"/>
        <w:ind w:firstLine="480" w:firstLineChars="200"/>
        <w:rPr>
          <w:sz w:val="24"/>
          <w:lang w:val="en-US" w:eastAsia="zh-CN"/>
          <w:szCs w:val="24"/>
          <w:rFonts w:ascii="微软雅黑" w:hAnsi="微软雅黑" w:eastAsia="微软雅黑" w:cs="微软雅黑" w:hint="eastAsia"/>
        </w:rPr>
      </w:pPr>
      <w:r>
        <w:rPr>
          <w:sz w:val="24"/>
          <w:lang w:eastAsia="zh-CN"/>
          <w:szCs w:val="24"/>
          <w:rFonts w:ascii="微软雅黑" w:hAnsi="微软雅黑" w:eastAsia="微软雅黑" w:cs="微软雅黑" w:hint="eastAsia"/>
        </w:rPr>
        <w:t>铂金岛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可以说是“未开先火”，自面市以来得到了</w:t>
      </w:r>
      <w:r>
        <w:rPr>
          <w:sz w:val="24"/>
          <w:szCs w:val="24"/>
          <w:rFonts w:ascii="微软雅黑" w:hAnsi="微软雅黑" w:eastAsia="微软雅黑" w:cs="微软雅黑" w:hint="eastAsia"/>
        </w:rPr>
        <w:t>市场</w:t>
      </w:r>
      <w:r>
        <w:rPr>
          <w:sz w:val="24"/>
          <w:lang w:eastAsia="zh-CN"/>
          <w:szCs w:val="24"/>
          <w:rFonts w:ascii="微软雅黑" w:hAnsi="微软雅黑" w:eastAsia="微软雅黑" w:cs="微软雅黑" w:hint="eastAsia"/>
        </w:rPr>
        <w:t>的</w:t>
      </w:r>
      <w:r>
        <w:rPr>
          <w:sz w:val="24"/>
          <w:szCs w:val="24"/>
          <w:rFonts w:ascii="微软雅黑" w:hAnsi="微软雅黑" w:eastAsia="微软雅黑" w:cs="微软雅黑" w:hint="eastAsia"/>
        </w:rPr>
        <w:t>认可</w:t>
      </w:r>
      <w:r>
        <w:rPr>
          <w:sz w:val="24"/>
          <w:lang w:eastAsia="zh-CN"/>
          <w:szCs w:val="24"/>
          <w:rFonts w:ascii="微软雅黑" w:hAnsi="微软雅黑" w:eastAsia="微软雅黑" w:cs="微软雅黑" w:hint="eastAsia"/>
        </w:rPr>
        <w:t>，</w:t>
      </w:r>
      <w:r>
        <w:rPr>
          <w:sz w:val="24"/>
          <w:lang w:val="en-US" w:eastAsia="zh-CN"/>
          <w:szCs w:val="24"/>
          <w:rFonts w:ascii="微软雅黑" w:hAnsi="微软雅黑" w:eastAsia="微软雅黑" w:cs="微软雅黑" w:hint="eastAsia"/>
        </w:rPr>
        <w:t>中介大V</w:t>
      </w:r>
      <w:r>
        <w:rPr>
          <w:sz w:val="24"/>
          <w:szCs w:val="24"/>
          <w:rFonts w:ascii="微软雅黑" w:hAnsi="微软雅黑" w:eastAsia="微软雅黑" w:cs="微软雅黑" w:hint="eastAsia"/>
        </w:rPr>
        <w:t>纷纷自发</w:t>
      </w:r>
      <w:r>
        <w:rPr>
          <w:sz w:val="24"/>
          <w:lang w:eastAsia="zh-CN"/>
          <w:szCs w:val="24"/>
          <w:rFonts w:ascii="微软雅黑" w:hAnsi="微软雅黑" w:eastAsia="微软雅黑" w:cs="微软雅黑" w:hint="eastAsia"/>
        </w:rPr>
        <w:t>推广，</w:t>
      </w:r>
      <w:r>
        <w:rPr>
          <w:sz w:val="24"/>
          <w:lang w:val="en-US" w:eastAsia="zh-CN"/>
          <w:szCs w:val="24"/>
          <w:rFonts w:ascii="微软雅黑" w:hAnsi="微软雅黑" w:eastAsia="微软雅黑" w:cs="微软雅黑" w:hint="eastAsia"/>
        </w:rPr>
        <w:t>而且也备受龙湖业主推崇。</w:t>
      </w:r>
      <w:r>
        <w:rPr>
          <w:sz w:val="24"/>
          <w:lang w:eastAsia="zh-CN"/>
          <w:szCs w:val="24"/>
          <w:rFonts w:ascii="微软雅黑" w:hAnsi="微软雅黑" w:eastAsia="微软雅黑" w:cs="微软雅黑" w:hint="eastAsia"/>
        </w:rPr>
        <w:t>西宸天街铂金岛的业主李先生，手上已经有3套铺子</w:t>
      </w:r>
      <w:r>
        <w:rPr>
          <w:sz w:val="24"/>
          <w:lang w:val="en-US" w:eastAsia="zh-CN"/>
          <w:szCs w:val="24"/>
          <w:rFonts w:ascii="微软雅黑" w:hAnsi="微软雅黑" w:eastAsia="微软雅黑" w:cs="微软雅黑" w:hint="eastAsia"/>
        </w:rPr>
        <w:t>并且年年盈利</w:t>
      </w:r>
      <w:r>
        <w:rPr>
          <w:sz w:val="24"/>
          <w:lang w:eastAsia="zh-CN"/>
          <w:szCs w:val="24"/>
          <w:rFonts w:ascii="微软雅黑" w:hAnsi="微软雅黑" w:eastAsia="微软雅黑" w:cs="微软雅黑" w:hint="eastAsia"/>
        </w:rPr>
        <w:t>，</w:t>
      </w:r>
      <w:r>
        <w:rPr>
          <w:sz w:val="24"/>
          <w:lang w:val="en-US" w:eastAsia="zh-CN"/>
          <w:szCs w:val="24"/>
          <w:rFonts w:ascii="微软雅黑" w:hAnsi="微软雅黑" w:eastAsia="微软雅黑" w:cs="微软雅黑" w:hint="eastAsia"/>
        </w:rPr>
        <w:t>一</w:t>
      </w:r>
      <w:r>
        <w:rPr>
          <w:sz w:val="24"/>
          <w:lang w:eastAsia="zh-CN"/>
          <w:szCs w:val="24"/>
          <w:rFonts w:ascii="微软雅黑" w:hAnsi="微软雅黑" w:eastAsia="微软雅黑" w:cs="微软雅黑" w:hint="eastAsia"/>
        </w:rPr>
        <w:t>听说</w:t>
      </w:r>
      <w:r>
        <w:rPr>
          <w:sz w:val="24"/>
          <w:lang w:val="en-US" w:eastAsia="zh-CN"/>
          <w:szCs w:val="24"/>
          <w:rFonts w:ascii="微软雅黑" w:hAnsi="微软雅黑" w:eastAsia="微软雅黑" w:cs="微软雅黑" w:hint="eastAsia"/>
        </w:rPr>
        <w:t>光年</w:t>
      </w:r>
      <w:r>
        <w:rPr>
          <w:sz w:val="24"/>
          <w:szCs w:val="24"/>
          <w:rFonts w:ascii="微软雅黑" w:hAnsi="微软雅黑" w:eastAsia="微软雅黑" w:cs="微软雅黑" w:hint="eastAsia"/>
        </w:rPr>
        <w:t>铂金岛加推就立马赶来</w:t>
      </w:r>
      <w:r>
        <w:rPr>
          <w:sz w:val="24"/>
          <w:lang w:val="en-US" w:eastAsia="zh-CN"/>
          <w:szCs w:val="24"/>
          <w:rFonts w:ascii="微软雅黑" w:hAnsi="微软雅黑" w:eastAsia="微软雅黑" w:cs="微软雅黑" w:hint="eastAsia"/>
        </w:rPr>
        <w:t>,</w:t>
      </w:r>
      <w:r>
        <w:rPr>
          <w:sz w:val="24"/>
          <w:szCs w:val="24"/>
          <w:rFonts w:ascii="微软雅黑" w:hAnsi="微软雅黑" w:eastAsia="微软雅黑" w:cs="微软雅黑" w:hint="eastAsia"/>
        </w:rPr>
        <w:t>就怕抢不到</w:t>
      </w:r>
      <w:r>
        <w:rPr>
          <w:sz w:val="24"/>
          <w:lang w:eastAsia="zh-CN"/>
          <w:szCs w:val="24"/>
          <w:rFonts w:ascii="微软雅黑" w:hAnsi="微软雅黑" w:eastAsia="微软雅黑" w:cs="微软雅黑" w:hint="eastAsia"/>
        </w:rPr>
        <w:t>！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pacing w:line="360" w:lineRule="auto"/>
        <w:ind w:firstLine="480" w:firstLineChars="200"/>
        <w:rPr>
          <w:sz w:val="24"/>
          <w:lang w:eastAsia="zh-CN"/>
          <w:szCs w:val="24"/>
          <w:rFonts w:ascii="微软雅黑" w:hAnsi="微软雅黑" w:eastAsia="微软雅黑" w:cs="微软雅黑" w:hint="eastAsia"/>
        </w:rPr>
      </w:pPr>
      <w:r>
        <w:rPr>
          <w:sz w:val="24"/>
          <w:lang w:val="en-US" w:eastAsia="zh-CN"/>
          <w:szCs w:val="24"/>
          <w:rFonts w:ascii="微软雅黑" w:hAnsi="微软雅黑" w:eastAsia="微软雅黑" w:cs="微软雅黑" w:hint="eastAsia"/>
        </w:rPr>
        <w:t>那么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为什么大家对</w:t>
      </w:r>
      <w:r>
        <w:rPr>
          <w:sz w:val="24"/>
          <w:szCs w:val="24"/>
          <w:rFonts w:ascii="微软雅黑" w:hAnsi="微软雅黑" w:eastAsia="微软雅黑" w:cs="微软雅黑" w:hint="eastAsia"/>
        </w:rPr>
        <w:t>堪称永不过时的硬核资产</w:t>
      </w:r>
      <w:r>
        <w:rPr>
          <w:sz w:val="24"/>
          <w:lang w:eastAsia="zh-CN"/>
          <w:szCs w:val="24"/>
          <w:rFonts w:ascii="微软雅黑" w:hAnsi="微软雅黑" w:eastAsia="微软雅黑" w:cs="微软雅黑" w:hint="eastAsia"/>
        </w:rPr>
        <w:t>—</w:t>
      </w:r>
      <w:r>
        <w:rPr>
          <w:sz w:val="24"/>
          <w:lang w:val="en-US" w:eastAsia="zh-CN"/>
          <w:szCs w:val="24"/>
          <w:rFonts w:ascii="微软雅黑" w:hAnsi="微软雅黑" w:eastAsia="微软雅黑" w:cs="微软雅黑" w:hint="eastAsia"/>
        </w:rPr>
        <w:t>龙湖铂金岛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如此青睐？</w:t>
      </w: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right="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drawing>
          <wp:inline distT="0" distB="0" distL="114300" distR="114300">
            <wp:extent cx="5178425" cy="4142740"/>
            <wp:effectExtent l="0" t="0" r="3175" b="10160"/>
            <wp:docPr id="2" name="图片 8" descr="9dcf9c0400004038834ce5268621d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dcf9c0400004038834ce5268621d7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pacing w:line="360" w:lineRule="auto"/>
        <w:ind w:firstLine="480" w:firstLineChars="200"/>
        <w:rPr>
          <w:i w:val="1"/>
          <w:sz w:val="24"/>
          <w:lang w:val="en-US" w:eastAsia="zh-CN"/>
          <w:iCs/>
          <w:szCs w:val="24"/>
          <w:rFonts w:ascii="微软雅黑" w:hAnsi="微软雅黑" w:eastAsia="微软雅黑" w:cs="微软雅黑" w:hint="default"/>
        </w:rPr>
      </w:pPr>
      <w:r>
        <w:rPr>
          <w:i w:val="1"/>
          <w:sz w:val="24"/>
          <w:lang w:val="en-US" w:eastAsia="zh-CN"/>
          <w:iCs/>
          <w:szCs w:val="24"/>
          <w:rFonts w:ascii="微软雅黑" w:hAnsi="微软雅黑" w:eastAsia="微软雅黑" w:cs="微软雅黑" w:hint="eastAsia"/>
        </w:rPr>
        <w:t>铂金岛效果图</w:t>
      </w: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right="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right="0"/>
        <w:rPr>
          <w:b w:val="1"/>
          <w:sz w:val="24"/>
          <w:lang w:val="en-US" w:eastAsia="zh-CN" w:bidi="ar-SA"/>
          <w:bCs/>
          <w:kern w:val="2"/>
          <w:szCs w:val="24"/>
          <w:rFonts w:ascii="微软雅黑" w:hAnsi="微软雅黑" w:eastAsia="微软雅黑" w:cs="微软雅黑" w:hint="default"/>
        </w:rPr>
      </w:pPr>
      <w:r>
        <w:rPr>
          <w:b w:val="1"/>
          <w:sz w:val="24"/>
          <w:lang w:val="en-US" w:eastAsia="zh-CN" w:bidi="ar-SA"/>
          <w:bCs/>
          <w:kern w:val="2"/>
          <w:szCs w:val="24"/>
          <w:rFonts w:ascii="微软雅黑" w:hAnsi="微软雅黑" w:eastAsia="微软雅黑" w:cs="微软雅黑" w:hint="eastAsia"/>
        </w:rPr>
        <w:t>其一，只有顶级的天街才有资格配置铂金岛</w:t>
      </w: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right="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如果说龙湖光年「金钥匙」与不断兑现的实力，分别标定了超能大城的高度与厚度，龙湖光年铂金岛则进一步放大了约14万方驿都天街商业封面街的亮度。</w:t>
      </w: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right="0"/>
        <w:rPr>
          <w:u w:val="single"/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  <w:r>
        <w:rPr>
          <w:u w:val="single"/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翻开龙湖铂金岛的履历，不难看出非TOP级天街，不立铂金岛。</w:t>
      </w: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right="0"/>
        <w:rPr>
          <w:u w:val="single"/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  <w:r>
        <w:rPr>
          <w:u w:val="single"/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drawing>
          <wp:inline distT="0" distB="0" distL="114300" distR="114300">
            <wp:extent cx="3957320" cy="2338705"/>
            <wp:effectExtent l="0" t="0" r="5080" b="4445"/>
            <wp:docPr id="3" name="图片 5" descr="DSCF8238-HDR-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F8238-HDR-1_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pacing w:line="360" w:lineRule="auto"/>
        <w:ind w:firstLine="480" w:firstLineChars="200"/>
        <w:rPr>
          <w:u w:val="single"/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  <w:r>
        <w:rPr>
          <w:i w:val="1"/>
          <w:sz w:val="24"/>
          <w:lang w:val="en-US" w:eastAsia="zh-CN"/>
          <w:iCs/>
          <w:szCs w:val="24"/>
          <w:rFonts w:ascii="微软雅黑" w:hAnsi="微软雅黑" w:eastAsia="微软雅黑" w:cs="微软雅黑" w:hint="eastAsia"/>
        </w:rPr>
        <w:t>西宸天街实拍图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numPr>
          <w:ilvl w:val="0"/>
          <w:numId w:val="0"/>
        </w:numPr>
        <w:spacing w:after="200"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  <w:t>西宸天街至今已吸引400+商家抢驻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，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  <w:t>日均超6万人次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，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  <w:t>一楼单铺租金约200-450元/m*月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，成为城西商业街区封面，人气火爆。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numPr>
          <w:ilvl w:val="0"/>
          <w:numId w:val="0"/>
        </w:numPr>
        <w:spacing w:after="200"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</w:pP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而龙湖光年的驿都天街配置了天街面积最大约700㎡的裸眼3D大屏，及约180米光年魔方地标，堪称TOP级！</w:t>
      </w: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right="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</w:pP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  <w:drawing>
          <wp:inline distT="0" distB="0" distL="114300" distR="114300">
            <wp:extent cx="4027805" cy="2247900"/>
            <wp:effectExtent l="0" t="0" r="10795" b="0"/>
            <wp:docPr id="4" name="图片 11" descr="天街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天街效果图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pacing w:line="360" w:lineRule="auto"/>
        <w:ind w:firstLine="480" w:firstLineChars="200"/>
        <w:rPr>
          <w:i w:val="1"/>
          <w:sz w:val="24"/>
          <w:lang w:val="en-US" w:eastAsia="zh-CN"/>
          <w:iCs/>
          <w:szCs w:val="24"/>
          <w:rFonts w:ascii="微软雅黑" w:hAnsi="微软雅黑" w:eastAsia="微软雅黑" w:cs="微软雅黑" w:hint="eastAsia"/>
        </w:rPr>
      </w:pPr>
      <w:r>
        <w:rPr>
          <w:i w:val="1"/>
          <w:sz w:val="24"/>
          <w:lang w:val="en-US" w:eastAsia="zh-CN"/>
          <w:iCs/>
          <w:szCs w:val="24"/>
          <w:rFonts w:ascii="微软雅黑" w:hAnsi="微软雅黑" w:eastAsia="微软雅黑" w:cs="微软雅黑" w:hint="eastAsia"/>
        </w:rPr>
        <w:t>驿都天街效果图</w:t>
      </w: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right="0"/>
        <w:rPr>
          <w:b w:val="1"/>
          <w:sz w:val="21"/>
          <w:lang w:val="en-US" w:eastAsia="zh-CN" w:bidi="ar-SA"/>
          <w:bCs/>
          <w:kern w:val="2"/>
          <w:szCs w:val="24"/>
          <w:rFonts w:ascii="微软雅黑" w:hAnsi="微软雅黑" w:eastAsia="微软雅黑" w:cs="微软雅黑" w:hint="eastAsia"/>
        </w:rPr>
      </w:pPr>
      <w:r>
        <w:rPr>
          <w:b w:val="1"/>
          <w:sz w:val="24"/>
          <w:lang w:val="en-US" w:eastAsia="zh-CN" w:bidi="ar-SA"/>
          <w:bCs/>
          <w:kern w:val="2"/>
          <w:szCs w:val="32"/>
          <w:rFonts w:ascii="微软雅黑" w:hAnsi="微软雅黑" w:eastAsia="微软雅黑" w:cs="微软雅黑" w:hint="eastAsia"/>
        </w:rPr>
        <w:t>其二，龙湖光年占位城东新芯财富圈</w:t>
      </w: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both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right="0"/>
        <w:rPr>
          <w:i w:val="1"/>
          <w:sz w:val="24"/>
          <w:lang w:val="en-US" w:eastAsia="zh-CN"/>
          <w:iCs/>
          <w:szCs w:val="24"/>
          <w:rFonts w:ascii="微软雅黑" w:hAnsi="微软雅黑" w:eastAsia="微软雅黑" w:cs="微软雅黑" w:hint="default"/>
        </w:rPr>
      </w:pP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当开一座火一座的龙湖天街，遇上了城市东部新城中心板块，又与龙湖光年铂金岛封面街潜力重合，是难得的财富机遇。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</w:pPr>
      <w:r>
        <w:rPr>
          <w:b w:val="0"/>
          <w:sz w:val="24"/>
          <w:lang w:val="en-US" w:eastAsia="zh-CN" w:bidi="ar-SA"/>
          <w:bCs w:val="0"/>
          <w:kern w:val="2"/>
          <w:szCs w:val="24"/>
          <w:rFonts w:ascii="微软雅黑" w:hAnsi="微软雅黑" w:eastAsia="微软雅黑" w:cs="微软雅黑" w:hint="eastAsia"/>
        </w:rPr>
        <w:t>从板块发展看，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2019年，成都正式将行政学院TOD确立为全市首批14个TOD示范项目之一，地理位置优势明显，属于一个承上启下的板块，驿都天街预估日均客流约6万起，地铁2号线日均约100万客流，3公里内覆盖60+高端社区，未来约50万常住消费力。叠加行政学院TOD价值的驿都天街未来的客流也是百万人潮汇集！</w:t>
      </w: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512" w:firstLineChars="200" w:right="0"/>
        <w:rPr>
          <w:i w:val="0"/>
          <w:color w:val="222222"/>
          <w:spacing w:val="8"/>
          <w:sz w:val="24"/>
          <w:lang w:eastAsia="zh-CN"/>
          <w:iCs w:val="0"/>
          <w:szCs w:val="24"/>
          <w:shd w:val="clear" w:fill="FFFFFF"/>
          <w:rFonts w:ascii="微软雅黑" w:hAnsi="微软雅黑" w:eastAsia="微软雅黑" w:cs="微软雅黑" w:hint="eastAsia"/>
        </w:rPr>
      </w:pPr>
      <w:r>
        <w:rPr>
          <w:i w:val="0"/>
          <w:color w:val="222222"/>
          <w:spacing w:val="8"/>
          <w:sz w:val="24"/>
          <w:lang w:eastAsia="zh-CN"/>
          <w:iCs w:val="0"/>
          <w:szCs w:val="24"/>
          <w:shd w:val="clear" w:fill="FFFFFF"/>
          <w:rFonts w:ascii="微软雅黑" w:hAnsi="微软雅黑" w:eastAsia="微软雅黑" w:cs="微软雅黑" w:hint="eastAsia"/>
        </w:rPr>
        <w:drawing>
          <wp:inline distT="0" distB="0" distL="114300" distR="114300">
            <wp:extent cx="5268595" cy="3147695"/>
            <wp:effectExtent l="0" t="0" r="1905" b="1905"/>
            <wp:docPr id="5" name="图片 13" descr="50a8b146486989aeac8d79a16be7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0a8b146486989aeac8d79a16be795b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pacing w:line="360" w:lineRule="auto"/>
        <w:ind w:firstLine="480" w:firstLineChars="200"/>
        <w:rPr>
          <w:i w:val="0"/>
          <w:color w:val="222222"/>
          <w:spacing w:val="8"/>
          <w:sz w:val="24"/>
          <w:lang w:eastAsia="zh-CN"/>
          <w:iCs w:val="0"/>
          <w:szCs w:val="24"/>
          <w:shd w:val="clear" w:fill="FFFFFF"/>
          <w:rFonts w:ascii="微软雅黑" w:hAnsi="微软雅黑" w:eastAsia="微软雅黑" w:cs="微软雅黑" w:hint="eastAsia"/>
        </w:rPr>
      </w:pPr>
      <w:r>
        <w:rPr>
          <w:i w:val="1"/>
          <w:sz w:val="24"/>
          <w:lang w:val="en-US" w:eastAsia="zh-CN"/>
          <w:iCs/>
          <w:szCs w:val="24"/>
          <w:rFonts w:ascii="微软雅黑" w:hAnsi="微软雅黑" w:eastAsia="微软雅黑" w:cs="微软雅黑" w:hint="eastAsia"/>
        </w:rPr>
        <w:t>龙湖光年区位鸟瞰效果图</w:t>
      </w: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right="0"/>
        <w:rPr>
          <w:b w:val="1"/>
          <w:sz w:val="24"/>
          <w:lang w:val="en-US" w:eastAsia="zh-CN" w:bidi="ar-SA"/>
          <w:bCs/>
          <w:kern w:val="2"/>
          <w:szCs w:val="24"/>
          <w:rFonts w:ascii="微软雅黑" w:hAnsi="微软雅黑" w:eastAsia="微软雅黑" w:cs="微软雅黑" w:hint="default"/>
        </w:rPr>
      </w:pPr>
      <w:r>
        <w:rPr>
          <w:b w:val="1"/>
          <w:sz w:val="24"/>
          <w:lang w:val="en-US" w:eastAsia="zh-CN" w:bidi="ar-SA"/>
          <w:bCs/>
          <w:kern w:val="2"/>
          <w:szCs w:val="24"/>
          <w:rFonts w:ascii="微软雅黑" w:hAnsi="微软雅黑" w:eastAsia="微软雅黑" w:cs="微软雅黑" w:hint="eastAsia"/>
        </w:rPr>
        <w:t>其三，超强的硬核产品，新一代街区标杆</w:t>
      </w: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512" w:firstLineChars="200" w:right="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  <w:r>
        <w:rPr>
          <w:i w:val="0"/>
          <w:color w:val="222222"/>
          <w:spacing w:val="8"/>
          <w:sz w:val="24"/>
          <w:lang w:eastAsia="zh-CN"/>
          <w:iCs w:val="0"/>
          <w:szCs w:val="24"/>
          <w:shd w:val="clear" w:fill="FFFFFF"/>
          <w:rFonts w:ascii="微软雅黑" w:hAnsi="微软雅黑" w:eastAsia="微软雅黑" w:cs="微软雅黑" w:hint="eastAsia"/>
        </w:rPr>
        <w:t>龙湖光年铂金岛</w:t>
      </w:r>
      <w:r>
        <w:rPr>
          <w:i w:val="0"/>
          <w:color w:val="222222"/>
          <w:spacing w:val="8"/>
          <w:sz w:val="24"/>
          <w:lang w:val="en-US" w:eastAsia="zh-CN"/>
          <w:iCs w:val="0"/>
          <w:szCs w:val="24"/>
          <w:shd w:val="clear" w:fill="FFFFFF"/>
          <w:rFonts w:ascii="微软雅黑" w:hAnsi="微软雅黑" w:eastAsia="微软雅黑" w:cs="微软雅黑" w:hint="eastAsia"/>
        </w:rPr>
        <w:t>通过与天街的</w:t>
      </w:r>
      <w:r>
        <w:rPr>
          <w:i w:val="0"/>
          <w:color w:val="222222"/>
          <w:spacing w:val="8"/>
          <w:sz w:val="24"/>
          <w:iCs w:val="0"/>
          <w:szCs w:val="24"/>
          <w:shd w:val="clear" w:fill="FFFFFF"/>
          <w:rFonts w:ascii="微软雅黑" w:hAnsi="微软雅黑" w:eastAsia="微软雅黑" w:cs="微软雅黑"/>
        </w:rPr>
        <w:t>业态</w:t>
      </w:r>
      <w:r>
        <w:rPr>
          <w:i w:val="0"/>
          <w:color w:val="222222"/>
          <w:spacing w:val="8"/>
          <w:sz w:val="24"/>
          <w:lang w:val="en-US" w:eastAsia="zh-CN"/>
          <w:iCs w:val="0"/>
          <w:szCs w:val="24"/>
          <w:shd w:val="clear" w:fill="FFFFFF"/>
          <w:rFonts w:ascii="微软雅黑" w:hAnsi="微软雅黑" w:eastAsia="微软雅黑" w:cs="微软雅黑" w:hint="eastAsia"/>
        </w:rPr>
        <w:t>时间</w:t>
      </w:r>
      <w:r>
        <w:rPr>
          <w:i w:val="0"/>
          <w:color w:val="222222"/>
          <w:spacing w:val="8"/>
          <w:sz w:val="24"/>
          <w:iCs w:val="0"/>
          <w:szCs w:val="24"/>
          <w:shd w:val="clear" w:fill="FFFFFF"/>
          <w:rFonts w:ascii="微软雅黑" w:hAnsi="微软雅黑" w:eastAsia="微软雅黑" w:cs="微软雅黑"/>
        </w:rPr>
        <w:t>互补</w:t>
      </w:r>
      <w:r>
        <w:rPr>
          <w:i w:val="0"/>
          <w:color w:val="222222"/>
          <w:spacing w:val="8"/>
          <w:sz w:val="24"/>
          <w:lang w:eastAsia="zh-CN"/>
          <w:iCs w:val="0"/>
          <w:szCs w:val="24"/>
          <w:shd w:val="clear" w:fill="FFFFFF"/>
          <w:rFonts w:ascii="微软雅黑" w:hAnsi="微软雅黑" w:eastAsia="微软雅黑" w:cs="微软雅黑" w:hint="eastAsia"/>
        </w:rPr>
        <w:t>，</w:t>
      </w:r>
      <w:r>
        <w:rPr>
          <w:i w:val="0"/>
          <w:color w:val="222222"/>
          <w:spacing w:val="8"/>
          <w:sz w:val="24"/>
          <w:lang w:val="en-US" w:eastAsia="zh-CN"/>
          <w:iCs w:val="0"/>
          <w:szCs w:val="24"/>
          <w:shd w:val="clear" w:fill="FFFFFF"/>
          <w:rFonts w:ascii="微软雅黑" w:hAnsi="微软雅黑" w:eastAsia="微软雅黑" w:cs="微软雅黑" w:hint="eastAsia"/>
        </w:rPr>
        <w:t>可</w:t>
      </w:r>
      <w:r>
        <w:rPr>
          <w:i w:val="0"/>
          <w:color w:val="222222"/>
          <w:spacing w:val="8"/>
          <w:sz w:val="24"/>
          <w:iCs w:val="0"/>
          <w:szCs w:val="24"/>
          <w:shd w:val="clear" w:fill="FFFFFF"/>
          <w:rFonts w:ascii="微软雅黑" w:hAnsi="微软雅黑" w:eastAsia="微软雅黑" w:cs="微软雅黑"/>
        </w:rPr>
        <w:t>相互导流，</w:t>
      </w:r>
      <w:r>
        <w:rPr>
          <w:i w:val="0"/>
          <w:color w:val="222222"/>
          <w:spacing w:val="8"/>
          <w:sz w:val="24"/>
          <w:lang w:val="en-US" w:eastAsia="zh-CN"/>
          <w:iCs w:val="0"/>
          <w:szCs w:val="24"/>
          <w:shd w:val="clear" w:fill="FFFFFF"/>
          <w:rFonts w:ascii="微软雅黑" w:hAnsi="微软雅黑" w:eastAsia="微软雅黑" w:cs="微软雅黑" w:hint="eastAsia"/>
        </w:rPr>
        <w:t>占据一个天街+地铁+公园+住宅+产业+办公的</w:t>
      </w:r>
      <w:r>
        <w:rPr>
          <w:i w:val="0"/>
          <w:color w:val="222222"/>
          <w:spacing w:val="8"/>
          <w:sz w:val="24"/>
          <w:iCs w:val="0"/>
          <w:szCs w:val="24"/>
          <w:shd w:val="clear" w:fill="FFFFFF"/>
          <w:rFonts w:ascii="微软雅黑" w:hAnsi="微软雅黑" w:eastAsia="微软雅黑" w:cs="微软雅黑"/>
        </w:rPr>
        <w:t>无边际财富圈。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pacing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  <w:r>
        <w:rPr>
          <w:b w:val="1"/>
          <w:sz w:val="24"/>
          <w:lang w:val="en-US" w:eastAsia="zh-CN" w:bidi="ar-SA"/>
          <w:bCs/>
          <w:kern w:val="2"/>
          <w:szCs w:val="24"/>
          <w:rFonts w:ascii="微软雅黑" w:hAnsi="微软雅黑" w:eastAsia="微软雅黑" w:cs="微软雅黑" w:hint="eastAsia"/>
        </w:rPr>
        <w:t>1、4大消费动线，与天街互补共赢；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约14万方驿都天街出入口，天街人潮第一站，连廊设计层层连廊直抵天街,客流循环流动。创新独岛式环幕商业，商铺双面临街，充分保障海量人流，并且与天街广场空间共享,深挖消费潜力。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pacing w:line="360" w:lineRule="auto"/>
        <w:ind w:firstLine="480" w:firstLineChars="200"/>
        <w:rPr>
          <w:sz w:val="24"/>
          <w:lang w:val="en-US" w:eastAsia="zh-CN"/>
          <w:szCs w:val="24"/>
          <w:rFonts w:ascii="微软雅黑" w:hAnsi="微软雅黑" w:eastAsia="微软雅黑" w:cs="微软雅黑" w:hint="default"/>
        </w:rPr>
      </w:pP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此外还拥有</w:t>
      </w:r>
      <w:r>
        <w:rPr>
          <w:sz w:val="24"/>
          <w:szCs w:val="24"/>
          <w:rFonts w:ascii="微软雅黑" w:hAnsi="微软雅黑" w:eastAsia="微软雅黑" w:cs="微软雅黑" w:hint="eastAsia"/>
        </w:rPr>
        <w:t>黄金开间进深比例，1比</w:t>
      </w:r>
      <w:r>
        <w:rPr>
          <w:sz w:val="24"/>
          <w:lang w:val="en-US" w:eastAsia="zh-CN"/>
          <w:szCs w:val="24"/>
          <w:rFonts w:ascii="微软雅黑" w:hAnsi="微软雅黑" w:eastAsia="微软雅黑" w:cs="微软雅黑" w:hint="eastAsia"/>
        </w:rPr>
        <w:t>2.8左右，</w:t>
      </w:r>
      <w:r>
        <w:rPr>
          <w:sz w:val="24"/>
          <w:szCs w:val="24"/>
          <w:rFonts w:ascii="微软雅黑" w:hAnsi="微软雅黑" w:eastAsia="微软雅黑" w:cs="微软雅黑" w:hint="eastAsia"/>
        </w:rPr>
        <w:t>层高</w:t>
      </w:r>
      <w:r>
        <w:rPr>
          <w:sz w:val="24"/>
          <w:lang w:eastAsia="zh-CN"/>
          <w:szCs w:val="24"/>
          <w:rFonts w:ascii="微软雅黑" w:hAnsi="微软雅黑" w:eastAsia="微软雅黑" w:cs="微软雅黑" w:hint="eastAsia"/>
        </w:rPr>
        <w:t>约</w:t>
      </w:r>
      <w:r>
        <w:rPr>
          <w:sz w:val="24"/>
          <w:szCs w:val="24"/>
          <w:rFonts w:ascii="微软雅黑" w:hAnsi="微软雅黑" w:eastAsia="微软雅黑" w:cs="微软雅黑" w:hint="eastAsia"/>
        </w:rPr>
        <w:t>6.1M，</w:t>
      </w:r>
      <w:r>
        <w:rPr>
          <w:sz w:val="24"/>
          <w:lang w:val="en-US" w:eastAsia="zh-CN"/>
          <w:szCs w:val="24"/>
          <w:rFonts w:ascii="微软雅黑" w:hAnsi="微软雅黑" w:eastAsia="微软雅黑" w:cs="微软雅黑" w:hint="eastAsia"/>
        </w:rPr>
        <w:t>可以利用</w:t>
      </w:r>
      <w:r>
        <w:rPr>
          <w:sz w:val="24"/>
          <w:szCs w:val="24"/>
          <w:rFonts w:ascii="微软雅黑" w:hAnsi="微软雅黑" w:eastAsia="微软雅黑" w:cs="微软雅黑" w:hint="eastAsia"/>
        </w:rPr>
        <w:t>大外摆灵活设计</w:t>
      </w:r>
      <w:r>
        <w:rPr>
          <w:sz w:val="24"/>
          <w:lang w:eastAsia="zh-CN"/>
          <w:szCs w:val="24"/>
          <w:rFonts w:ascii="微软雅黑" w:hAnsi="微软雅黑" w:eastAsia="微软雅黑" w:cs="微软雅黑" w:hint="eastAsia"/>
        </w:rPr>
        <w:t>，</w:t>
      </w:r>
      <w:r>
        <w:rPr>
          <w:sz w:val="24"/>
          <w:lang w:val="en-US" w:eastAsia="zh-CN"/>
          <w:szCs w:val="24"/>
          <w:rFonts w:ascii="微软雅黑" w:hAnsi="微软雅黑" w:eastAsia="微软雅黑" w:cs="微软雅黑" w:hint="eastAsia"/>
        </w:rPr>
        <w:t>创造更多收益。</w:t>
      </w: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leftChars="0" w:right="0" w:rightChars="0"/>
        <w:rPr>
          <w:b w:val="1"/>
          <w:sz w:val="24"/>
          <w:lang w:val="en-US" w:eastAsia="zh-CN"/>
          <w:bCs/>
          <w:szCs w:val="24"/>
          <w:rFonts w:ascii="微软雅黑" w:hAnsi="微软雅黑" w:eastAsia="微软雅黑" w:cs="微软雅黑" w:hint="eastAsia"/>
        </w:rPr>
      </w:pP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drawing>
          <wp:inline distT="0" distB="0" distL="114300" distR="114300">
            <wp:extent cx="5273675" cy="2988310"/>
            <wp:effectExtent l="0" t="0" r="3175" b="2540"/>
            <wp:docPr id="6" name="图片 3" descr="铂金岛人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铂金岛人流图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2、</w:t>
      </w:r>
      <w:r>
        <w:rPr>
          <w:b w:val="1"/>
          <w:sz w:val="24"/>
          <w:lang w:val="en-US" w:eastAsia="zh-CN" w:bidi="ar-SA"/>
          <w:bCs/>
          <w:kern w:val="2"/>
          <w:szCs w:val="24"/>
          <w:rFonts w:ascii="微软雅黑" w:hAnsi="微软雅黑" w:eastAsia="微软雅黑" w:cs="微软雅黑" w:hint="eastAsia"/>
        </w:rPr>
        <w:t>龙湖强大的招商能力，500强企业入驻；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龙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  <w:t>湖强大的地产招商体系及完善的后期物业服务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、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  <w:t>二手租售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能力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  <w:t>都能为商业的经营提供保障。而铂金岛的定位与天街共享龙湖商业品牌资源，利用天街品牌的牵引力去反哺铂金岛。</w:t>
      </w:r>
      <w:r>
        <w:rPr>
          <w:b w:val="1"/>
          <w:sz w:val="24"/>
          <w:lang w:val="en-US" w:eastAsia="zh-CN" w:bidi="ar-SA"/>
          <w:bCs/>
          <w:kern w:val="2"/>
          <w:szCs w:val="24"/>
          <w:rFonts w:ascii="微软雅黑" w:hAnsi="微软雅黑" w:eastAsia="微软雅黑" w:cs="微软雅黑" w:hint="eastAsia"/>
        </w:rPr>
        <w:t>现目前</w:t>
      </w:r>
      <w:r>
        <w:rPr>
          <w:b w:val="1"/>
          <w:sz w:val="24"/>
          <w:lang w:val="en-US" w:eastAsia="zh-CN" w:bidi="ar-SA"/>
          <w:bCs/>
          <w:kern w:val="2"/>
          <w:szCs w:val="24"/>
          <w:rFonts w:ascii="微软雅黑" w:hAnsi="微软雅黑" w:eastAsia="微软雅黑" w:hint="eastAsia" w:cstheme="minorBidi"/>
        </w:rPr>
        <w:t>麦当劳、幸运咖已签约入驻，还有</w:t>
      </w:r>
      <w:r>
        <w:rPr>
          <w:b w:val="1"/>
          <w:sz w:val="24"/>
          <w:lang w:val="en-US" w:eastAsia="zh-CN"/>
          <w:bCs/>
          <w:szCs w:val="24"/>
          <w:rFonts w:ascii="微软雅黑" w:hAnsi="微软雅黑" w:eastAsia="微软雅黑" w:cs="微软雅黑" w:hint="eastAsia"/>
        </w:rPr>
        <w:t>更多的一线品牌洽谈中。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 w:val="0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/>
          <w:szCs w:val="24"/>
          <w:rFonts w:ascii="微软雅黑" w:hAnsi="微软雅黑" w:eastAsia="微软雅黑" w:cs="微软雅黑" w:hint="default"/>
        </w:rPr>
      </w:pPr>
      <w:r>
        <w:rPr>
          <w:sz w:val="24"/>
          <w:lang w:val="en-US" w:eastAsia="zh-CN"/>
          <w:szCs w:val="24"/>
          <w:rFonts w:ascii="微软雅黑" w:hAnsi="微软雅黑" w:eastAsia="微软雅黑" w:cs="微软雅黑" w:hint="default"/>
        </w:rPr>
        <w:drawing>
          <wp:inline distT="0" distB="0" distL="114300" distR="114300">
            <wp:extent cx="5269865" cy="2986405"/>
            <wp:effectExtent l="0" t="0" r="6985" b="4445"/>
            <wp:docPr id="7" name="图片 4" descr="1088b4b822765ec8fc3924e2b45fb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88b4b822765ec8fc3924e2b45fbfc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 w:val="0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/>
          <w:szCs w:val="24"/>
          <w:rFonts w:ascii="微软雅黑" w:hAnsi="微软雅黑" w:eastAsia="微软雅黑" w:cs="微软雅黑" w:hint="default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 w:val="0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  <w:r>
        <w:rPr>
          <w:u w:val="none"/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集「城势」与「财势」于一身的龙湖光年，以揽金约45亿的优势热领板块，成为城东的顶流大盘，并且天街住宅也持续热销中。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 w:val="0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建面约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  <w:t>177㎡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瑰丽奢装大平层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  <w:t>，近10m贯通式阳台，约50㎡LDK一体化设计、还有尺度阔绰的厨房，并搭配了汉斯格雅、西门子、杜拉维特、德国威能等一线品牌，采用了数十种奢石，精装标准非常高。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 w:val="0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drawing>
          <wp:inline distT="0" distB="0" distL="114300" distR="114300">
            <wp:extent cx="5471160" cy="3030220"/>
            <wp:effectExtent l="0" t="0" r="2540" b="5080"/>
            <wp:docPr id="8" name="图片 9" descr="10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.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 w:val="0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  <w:bookmarkStart w:id="0" w:name="_GoBack"/>
      <w:bookmarkEnd w:id="0"/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建面约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  <w:t>1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85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  <w:t>㎡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总裁奢装墅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  <w:t>，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约6000元/㎡标准豪装，全四套房设计，为商务领袖营造大气隽永的空间，甄选汉斯格雅、杜拉维特、</w:t>
      </w: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日立等顶奢品牌，勾勒奢华、典雅的空间美学。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 w:val="0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drawing>
          <wp:inline distT="0" distB="0" distL="114300" distR="114300">
            <wp:extent cx="5266690" cy="2962910"/>
            <wp:effectExtent l="0" t="0" r="3810" b="8890"/>
            <wp:docPr id="9" name="图片 1" descr="5760f40668b0369f34d239d08b00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760f40668b0369f34d239d08b00fc5"/>
                    <pic:cNvPicPr/>
                  </pic:nvPicPr>
                  <pic:blipFill>
                    <a:blip r:embed="rId12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 w:val="0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  <w:r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  <w:t>截至目前，光年已揽金45亿，火爆热销席位难得，敬请预约品鉴。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 w:val="0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 w:val="0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 w:val="0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 w:val="0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 w:val="0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 w:val="0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 w:val="0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/>
          <w:szCs w:val="24"/>
          <w:rFonts w:ascii="微软雅黑" w:hAnsi="微软雅黑" w:eastAsia="微软雅黑" w:cs="微软雅黑" w:hint="eastAsia"/>
        </w:rPr>
      </w:pP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leftChars="0" w:right="0" w:rightChars="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numPr>
          <w:ilvl w:val="0"/>
          <w:numId w:val="0"/>
        </w:numPr>
        <w:spacing w:line="360" w:lineRule="auto"/>
        <w:ind w:firstLine="480" w:firstLineChars="20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right="0" w:rightChars="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</w:pP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right="0" w:rightChars="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</w:pP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right="0" w:rightChars="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default"/>
        </w:rPr>
      </w:pP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right="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right="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right="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</w:p>
    <w:p>
      <w:pPr>
        <w:pStyle w:val="2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 w:before="0" w:beforeAutospacing="0" w:line="360" w:lineRule="auto"/>
        <w:ind w:firstLine="480" w:firstLineChars="200" w:right="0"/>
        <w:rPr>
          <w:sz w:val="24"/>
          <w:lang w:val="en-US" w:eastAsia="zh-CN" w:bidi="ar-SA"/>
          <w:kern w:val="2"/>
          <w:szCs w:val="24"/>
          <w:rFonts w:ascii="微软雅黑" w:hAnsi="微软雅黑" w:eastAsia="微软雅黑" w:cs="微软雅黑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pacing w:line="360" w:lineRule="auto"/>
        <w:ind w:firstLine="480" w:firstLineChars="200"/>
        <w:rPr>
          <w:sz w:val="24"/>
          <w:lang w:eastAsia="zh-CN"/>
          <w:szCs w:val="24"/>
          <w:rFonts w:ascii="微软雅黑" w:hAnsi="微软雅黑" w:eastAsia="微软雅黑" w:cs="微软雅黑" w:hint="eastAsia"/>
        </w:rPr>
      </w:pPr>
    </w:p>
    <w:sectPr>
      <w:docGrid w:type="lines" w:linePitch="312" w:charSpace="0"/>
      <w:pgSz w:w="11906" w:h="16838"/>
      <w:pgMar w:top="1440" w:right="1800" w:bottom="1440" w:left="1800" w:header="851" w:footer="992" w:gutter="0"/>
      <w:cols w:space="425" w:num="1"/>
    </w:sectPr>
  </w:body>
</w:document>
</file>

<file path=word/fontTable.xml><?xml version="1.0" encoding="utf-8"?>
<w:fonts xmlns:w="http://schemas.openxmlformats.org/wordprocessingml/2006/main" xmlns:w14="http://schemas.microsoft.com/office/word/2010/wordml" xmlns:r="http://schemas.openxmlformats.org/officeDocument/2006/relationships" xmlns:mc="http://schemas.openxmlformats.org/markup-compatibility/2006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w14="http://schemas.microsoft.com/office/word/2010/wordml" xmlns:wpsCustomData="http://www.wps.cn/officeDocument/2013/wpsCustomData" xmlns:w10="urn:schemas-microsoft-com:office:word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bordersDoNotSurroundHeader/>
  <w:bordersDoNotSurroundFooter/>
  <w:defaultTabStop w:val="420"/>
  <w:drawingGridVerticalSpacing w:val="156"/>
  <w:displayHorizontalDrawingGridEvery w:val="1"/>
  <w:displayVerticalDrawingGridEvery w:val="1"/>
  <w:characterSpacingControl w:val="compressPunctuation"/>
  <w:zoom w:percent="80"/>
  <w:compat>
    <w:spaceForUL/>
    <w:balanceSingleByteDoubleByteWidth/>
    <w:doNotLeaveBackslashAlone/>
    <w:ulTrailSpace/>
    <w:doNotExpandShiftReturn/>
    <w:adjustLineHeightInTable/>
    <w:useFELayout/>
    <w:compatSetting w:val="14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</w:compat>
  <w:rsids>
    <w:rsidRoot w:val="00000000"/>
    <w:rsid w:val="04940758"/>
    <w:rsid w:val="06444D4D"/>
    <w:rsid w:val="11F47F60"/>
    <w:rsid w:val="15A61C02"/>
    <w:rsid w:val="1FE12720"/>
    <w:rsid w:val="2C107158"/>
    <w:rsid w:val="30381148"/>
    <w:rsid w:val="364333A3"/>
    <w:rsid w:val="36827DBA"/>
    <w:rsid w:val="38BB5D8F"/>
    <w:rsid w:val="478555A9"/>
    <w:rsid w:val="4A21012A"/>
    <w:rsid w:val="557D0A4B"/>
    <w:rsid w:val="591D2213"/>
    <w:rsid w:val="60CC5C17"/>
    <w:rsid w:val="64A17736"/>
    <w:rsid w:val="658C0853"/>
    <w:rsid w:val="6F3845EA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/>
  <w:listSeparator/>
</w:settings>
</file>

<file path=word/styles.xml><?xml version="1.0" encoding="utf-8"?>
<w:styles xmlns:wpsCustomData="http://www.wps.cn/officeDocument/2013/wpsCustomData" xmlns:w10="urn:schemas-microsoft-com:office:word" xmlns:w14="http://schemas.microsoft.com/office/word/2010/wordml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defLockedState="0" w:defSemiHidden="1" w:defUnhideWhenUsed="1" w:defQFormat="0" w:defUIPriority="99" w:count="260">
    <w:lsdException w:name="Balloon Text" w:uiPriority="0" w:semiHidden="0" w:unhideWhenUsed="0"/>
    <w:lsdException w:name="Block Text" w:uiPriority="0" w:semiHidden="0" w:unhideWhenUsed="0"/>
    <w:lsdException w:name="Body Text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Body Text Indent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Closing" w:uiPriority="0" w:semiHidden="0" w:unhideWhenUsed="0"/>
    <w:lsdException w:name="Colorful Grid" w:uiPriority="73" w:semiHidden="0" w:unhideWhenUsed="0"/>
    <w:lsdException w:name="Colorful Grid Accent 1" w:uiPriority="73" w:semiHidden="0" w:unhideWhenUsed="0"/>
    <w:lsdException w:name="Colorful Grid Accent 2" w:uiPriority="73" w:semiHidden="0" w:unhideWhenUsed="0"/>
    <w:lsdException w:name="Colorful Grid Accent 3" w:uiPriority="73" w:semiHidden="0" w:unhideWhenUsed="0"/>
    <w:lsdException w:name="Colorful Grid Accent 4" w:uiPriority="73" w:semiHidden="0" w:unhideWhenUsed="0"/>
    <w:lsdException w:name="Colorful Grid Accent 5" w:uiPriority="73" w:semiHidden="0" w:unhideWhenUsed="0"/>
    <w:lsdException w:name="Colorful Grid Accent 6" w:uiPriority="73" w:semiHidden="0" w:unhideWhenUsed="0"/>
    <w:lsdException w:name="Colorful List" w:uiPriority="72" w:semiHidden="0" w:unhideWhenUsed="0"/>
    <w:lsdException w:name="Colorful List Accent 1" w:uiPriority="72" w:semiHidden="0" w:unhideWhenUsed="0"/>
    <w:lsdException w:name="Colorful List Accent 2" w:uiPriority="72" w:semiHidden="0" w:unhideWhenUsed="0"/>
    <w:lsdException w:name="Colorful List Accent 3" w:uiPriority="72" w:semiHidden="0" w:unhideWhenUsed="0"/>
    <w:lsdException w:name="Colorful List Accent 4" w:uiPriority="72" w:semiHidden="0" w:unhideWhenUsed="0"/>
    <w:lsdException w:name="Colorful List Accent 5" w:uiPriority="72" w:semiHidden="0" w:unhideWhenUsed="0"/>
    <w:lsdException w:name="Colorful List Accent 6" w:uiPriority="72" w:semiHidden="0" w:unhideWhenUsed="0"/>
    <w:lsdException w:name="Colorful Shading" w:uiPriority="71" w:semiHidden="0" w:unhideWhenUsed="0"/>
    <w:lsdException w:name="Colorful Shading Accent 1" w:uiPriority="71" w:semiHidden="0" w:unhideWhenUsed="0"/>
    <w:lsdException w:name="Colorful Shading Accent 2" w:uiPriority="71" w:semiHidden="0" w:unhideWhenUsed="0"/>
    <w:lsdException w:name="Colorful Shading Accent 3" w:uiPriority="71" w:semiHidden="0" w:unhideWhenUsed="0"/>
    <w:lsdException w:name="Colorful Shading Accent 4" w:uiPriority="71" w:semiHidden="0" w:unhideWhenUsed="0"/>
    <w:lsdException w:name="Colorful Shading Accent 5" w:uiPriority="71" w:semiHidden="0" w:unhideWhenUsed="0"/>
    <w:lsdException w:name="Colorful Shading Accent 6" w:uiPriority="71" w:semiHidden="0" w:unhideWhenUsed="0"/>
    <w:lsdException w:name="Dark List" w:uiPriority="70" w:semiHidden="0" w:unhideWhenUsed="0"/>
    <w:lsdException w:name="Dark List Accent 1" w:uiPriority="70" w:semiHidden="0" w:unhideWhenUsed="0"/>
    <w:lsdException w:name="Dark List Accent 2" w:uiPriority="70" w:semiHidden="0" w:unhideWhenUsed="0"/>
    <w:lsdException w:name="Dark List Accent 3" w:uiPriority="70" w:semiHidden="0" w:unhideWhenUsed="0"/>
    <w:lsdException w:name="Dark List Accent 4" w:uiPriority="70" w:semiHidden="0" w:unhideWhenUsed="0"/>
    <w:lsdException w:name="Dark List Accent 5" w:uiPriority="70" w:semiHidden="0" w:unhideWhenUsed="0"/>
    <w:lsdException w:name="Dark List Accent 6" w:uiPriority="70" w:semiHidden="0" w:unhideWhenUsed="0"/>
    <w:lsdException w:name="Date" w:uiPriority="0" w:semiHidden="0" w:unhideWhenUsed="0"/>
    <w:lsdException w:name="Default Paragraph Font" w:uiPriority="0" w:unhideWhenUsed="0" w:qFormat="1"/>
    <w:lsdException w:name="Document Map" w:uiPriority="0" w:semiHidden="0" w:unhideWhenUsed="0"/>
    <w:lsdException w:name="E-mail Signature" w:uiPriority="0" w:semiHidden="0" w:unhideWhenUsed="0"/>
    <w:lsdException w:name="Emphasis" w:uiPriority="0" w:semiHidden="0" w:unhideWhenUsed="0" w:qFormat="1"/>
    <w:lsdException w:name="FollowedHyperlink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Hyperlink" w:uiPriority="0" w:semiHidden="0" w:unhideWhenUsed="0"/>
    <w:lsdException w:name="Light Grid" w:uiPriority="62" w:semiHidden="0" w:unhideWhenUsed="0"/>
    <w:lsdException w:name="Light Grid Accent 1" w:uiPriority="62" w:semiHidden="0" w:unhideWhenUsed="0"/>
    <w:lsdException w:name="Light Grid Accent 2" w:uiPriority="62" w:semiHidden="0" w:unhideWhenUsed="0"/>
    <w:lsdException w:name="Light Grid Accent 3" w:uiPriority="62" w:semiHidden="0" w:unhideWhenUsed="0"/>
    <w:lsdException w:name="Light Grid Accent 4" w:uiPriority="62" w:semiHidden="0" w:unhideWhenUsed="0"/>
    <w:lsdException w:name="Light Grid Accent 5" w:uiPriority="62" w:semiHidden="0" w:unhideWhenUsed="0"/>
    <w:lsdException w:name="Light Grid Accent 6" w:uiPriority="62" w:semiHidden="0" w:unhideWhenUsed="0"/>
    <w:lsdException w:name="Light List" w:uiPriority="61" w:semiHidden="0" w:unhideWhenUsed="0"/>
    <w:lsdException w:name="Light List Accent 1" w:uiPriority="61" w:semiHidden="0" w:unhideWhenUsed="0"/>
    <w:lsdException w:name="Light List Accent 2" w:uiPriority="61" w:semiHidden="0" w:unhideWhenUsed="0"/>
    <w:lsdException w:name="Light List Accent 3" w:uiPriority="61" w:semiHidden="0" w:unhideWhenUsed="0"/>
    <w:lsdException w:name="Light List Accent 4" w:uiPriority="61" w:semiHidden="0" w:unhideWhenUsed="0"/>
    <w:lsdException w:name="Light List Accent 5" w:uiPriority="61" w:semiHidden="0" w:unhideWhenUsed="0"/>
    <w:lsdException w:name="Light List Accent 6" w:uiPriority="61" w:semiHidden="0" w:unhideWhenUsed="0"/>
    <w:lsdException w:name="Light Shading" w:uiPriority="60" w:semiHidden="0" w:unhideWhenUsed="0"/>
    <w:lsdException w:name="Light Shading Accent 1" w:uiPriority="60" w:semiHidden="0" w:unhideWhenUsed="0"/>
    <w:lsdException w:name="Light Shading Accent 2" w:uiPriority="60" w:semiHidden="0" w:unhideWhenUsed="0"/>
    <w:lsdException w:name="Light Shading Accent 3" w:uiPriority="60" w:semiHidden="0" w:unhideWhenUsed="0"/>
    <w:lsdException w:name="Light Shading Accent 4" w:uiPriority="60" w:semiHidden="0" w:unhideWhenUsed="0"/>
    <w:lsdException w:name="Light Shading Accent 5" w:uiPriority="60" w:semiHidden="0" w:unhideWhenUsed="0"/>
    <w:lsdException w:name="Light Shading Accent 6" w:uiPriority="60" w:semiHidden="0" w:unhideWhenUsed="0"/>
    <w:lsdException w:name="List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List Number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Medium Grid 1" w:uiPriority="67" w:semiHidden="0" w:unhideWhenUsed="0"/>
    <w:lsdException w:name="Medium Grid 1 Accent 1" w:uiPriority="67" w:semiHidden="0" w:unhideWhenUsed="0"/>
    <w:lsdException w:name="Medium Grid 1 Accent 2" w:uiPriority="67" w:semiHidden="0" w:unhideWhenUsed="0"/>
    <w:lsdException w:name="Medium Grid 1 Accent 3" w:uiPriority="67" w:semiHidden="0" w:unhideWhenUsed="0"/>
    <w:lsdException w:name="Medium Grid 1 Accent 4" w:uiPriority="67" w:semiHidden="0" w:unhideWhenUsed="0"/>
    <w:lsdException w:name="Medium Grid 1 Accent 5" w:uiPriority="67" w:semiHidden="0" w:unhideWhenUsed="0"/>
    <w:lsdException w:name="Medium Grid 1 Accent 6" w:uiPriority="67" w:semiHidden="0" w:unhideWhenUsed="0"/>
    <w:lsdException w:name="Medium Grid 2" w:uiPriority="68" w:semiHidden="0" w:unhideWhenUsed="0"/>
    <w:lsdException w:name="Medium Grid 2 Accent 1" w:uiPriority="68" w:semiHidden="0" w:unhideWhenUsed="0"/>
    <w:lsdException w:name="Medium Grid 2 Accent 2" w:uiPriority="68" w:semiHidden="0" w:unhideWhenUsed="0"/>
    <w:lsdException w:name="Medium Grid 2 Accent 3" w:uiPriority="68" w:semiHidden="0" w:unhideWhenUsed="0"/>
    <w:lsdException w:name="Medium Grid 2 Accent 4" w:uiPriority="68" w:semiHidden="0" w:unhideWhenUsed="0"/>
    <w:lsdException w:name="Medium Grid 2 Accent 5" w:uiPriority="68" w:semiHidden="0" w:unhideWhenUsed="0"/>
    <w:lsdException w:name="Medium Grid 2 Accent 6" w:uiPriority="68" w:semiHidden="0" w:unhideWhenUsed="0"/>
    <w:lsdException w:name="Medium Grid 3" w:uiPriority="69" w:semiHidden="0" w:unhideWhenUsed="0"/>
    <w:lsdException w:name="Medium Grid 3 Accent 1" w:uiPriority="69" w:semiHidden="0" w:unhideWhenUsed="0"/>
    <w:lsdException w:name="Medium Grid 3 Accent 2" w:uiPriority="69" w:semiHidden="0" w:unhideWhenUsed="0"/>
    <w:lsdException w:name="Medium Grid 3 Accent 3" w:uiPriority="69" w:semiHidden="0" w:unhideWhenUsed="0"/>
    <w:lsdException w:name="Medium Grid 3 Accent 4" w:uiPriority="69" w:semiHidden="0" w:unhideWhenUsed="0"/>
    <w:lsdException w:name="Medium Grid 3 Accent 5" w:uiPriority="69" w:semiHidden="0" w:unhideWhenUsed="0"/>
    <w:lsdException w:name="Medium Grid 3 Accent 6" w:uiPriority="69" w:semiHidden="0" w:unhideWhenUsed="0"/>
    <w:lsdException w:name="Medium List 1" w:uiPriority="65" w:semiHidden="0" w:unhideWhenUsed="0"/>
    <w:lsdException w:name="Medium List 1 Accent 1" w:uiPriority="65" w:semiHidden="0" w:unhideWhenUsed="0"/>
    <w:lsdException w:name="Medium List 1 Accent 2" w:uiPriority="65" w:semiHidden="0" w:unhideWhenUsed="0"/>
    <w:lsdException w:name="Medium List 1 Accent 3" w:uiPriority="65" w:semiHidden="0" w:unhideWhenUsed="0"/>
    <w:lsdException w:name="Medium List 1 Accent 4" w:uiPriority="65" w:semiHidden="0" w:unhideWhenUsed="0"/>
    <w:lsdException w:name="Medium List 1 Accent 5" w:uiPriority="65" w:semiHidden="0" w:unhideWhenUsed="0"/>
    <w:lsdException w:name="Medium List 1 Accent 6" w:uiPriority="65" w:semiHidden="0" w:unhideWhenUsed="0"/>
    <w:lsdException w:name="Medium List 2" w:uiPriority="66" w:semiHidden="0" w:unhideWhenUsed="0"/>
    <w:lsdException w:name="Medium List 2 Accent 1" w:uiPriority="66" w:semiHidden="0" w:unhideWhenUsed="0"/>
    <w:lsdException w:name="Medium List 2 Accent 2" w:uiPriority="66" w:semiHidden="0" w:unhideWhenUsed="0"/>
    <w:lsdException w:name="Medium List 2 Accent 3" w:uiPriority="66" w:semiHidden="0" w:unhideWhenUsed="0"/>
    <w:lsdException w:name="Medium List 2 Accent 4" w:uiPriority="66" w:semiHidden="0" w:unhideWhenUsed="0"/>
    <w:lsdException w:name="Medium List 2 Accent 5" w:uiPriority="66" w:semiHidden="0" w:unhideWhenUsed="0"/>
    <w:lsdException w:name="Medium List 2 Accent 6" w:uiPriority="66" w:semiHidden="0" w:unhideWhenUsed="0"/>
    <w:lsdException w:name="Medium Shading 1" w:uiPriority="63" w:semiHidden="0" w:unhideWhenUsed="0"/>
    <w:lsdException w:name="Medium Shading 1 Accent 1" w:uiPriority="63" w:semiHidden="0" w:unhideWhenUsed="0"/>
    <w:lsdException w:name="Medium Shading 1 Accent 2" w:uiPriority="63" w:semiHidden="0" w:unhideWhenUsed="0"/>
    <w:lsdException w:name="Medium Shading 1 Accent 3" w:uiPriority="63" w:semiHidden="0" w:unhideWhenUsed="0"/>
    <w:lsdException w:name="Medium Shading 1 Accent 4" w:uiPriority="63" w:semiHidden="0" w:unhideWhenUsed="0"/>
    <w:lsdException w:name="Medium Shading 1 Accent 5" w:uiPriority="63" w:semiHidden="0" w:unhideWhenUsed="0"/>
    <w:lsdException w:name="Medium Shading 1 Accent 6" w:uiPriority="63" w:semiHidden="0" w:unhideWhenUsed="0"/>
    <w:lsdException w:name="Medium Shading 2" w:uiPriority="64" w:semiHidden="0" w:unhideWhenUsed="0"/>
    <w:lsdException w:name="Medium Shading 2 Accent 1" w:uiPriority="64" w:semiHidden="0" w:unhideWhenUsed="0"/>
    <w:lsdException w:name="Medium Shading 2 Accent 2" w:uiPriority="64" w:semiHidden="0" w:unhideWhenUsed="0"/>
    <w:lsdException w:name="Medium Shading 2 Accent 3" w:uiPriority="64" w:semiHidden="0" w:unhideWhenUsed="0"/>
    <w:lsdException w:name="Medium Shading 2 Accent 4" w:uiPriority="64" w:semiHidden="0" w:unhideWhenUsed="0"/>
    <w:lsdException w:name="Medium Shading 2 Accent 5" w:uiPriority="64" w:semiHidden="0" w:unhideWhenUsed="0"/>
    <w:lsdException w:name="Medium Shading 2 Accent 6" w:uiPriority="64" w:semiHidden="0" w:unhideWhenUsed="0"/>
    <w:lsdException w:name="Message Header" w:uiPriority="0" w:semiHidden="0" w:unhideWhenUsed="0"/>
    <w:lsdException w:name="Normal" w:uiPriority="0" w:semiHidden="0" w:unhideWhenUsed="0" w:qFormat="1"/>
    <w:lsdException w:name="Normal (Web)" w:uiPriority="0" w:semiHidden="0" w:unhideWhenUsed="0" w:qFormat="1"/>
    <w:lsdException w:name="Normal Indent" w:uiPriority="0" w:semiHidden="0" w:unhideWhenUsed="0"/>
    <w:lsdException w:name="Normal Table" w:uiPriority="0" w:unhideWhenUsed="0" w:qFormat="1"/>
    <w:lsdException w:name="Note Heading" w:uiPriority="0" w:semiHidden="0" w:unhideWhenUsed="0"/>
    <w:lsdException w:name="Plain Text" w:uiPriority="0" w:semiHidden="0" w:unhideWhenUsed="0"/>
    <w:lsdException w:name="Salutation" w:uiPriority="0" w:semiHidden="0" w:unhideWhenUsed="0"/>
    <w:lsdException w:name="Signature" w:uiPriority="0" w:semiHidden="0" w:unhideWhenUsed="0"/>
    <w:lsdException w:name="Strong" w:uiPriority="0" w:semiHidden="0" w:unhideWhenUsed="0" w:qFormat="1"/>
    <w:lsdException w:name="Subtitle" w:uiPriority="0" w:semiHidden="0" w:unhideWhenUsed="0" w:qFormat="1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Grid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Professional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Theme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Title" w:uiPriority="0" w:semiHidden="0" w:unhideWhenUsed="0" w:qFormat="1"/>
    <w:lsdException w:name="annotation reference" w:uiPriority="0" w:semiHidden="0" w:unhideWhenUsed="0"/>
    <w:lsdException w:name="annotation subject" w:uiPriority="0" w:semiHidden="0" w:unhideWhenUsed="0"/>
    <w:lsdException w:name="annotation text" w:uiPriority="0" w:semiHidden="0" w:unhideWhenUsed="0"/>
    <w:lsdException w:name="caption" w:uiPriority="0" w:qFormat="1"/>
    <w:lsdException w:name="endnote reference" w:uiPriority="0" w:semiHidden="0" w:unhideWhenUsed="0"/>
    <w:lsdException w:name="endnote text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er" w:uiPriority="0" w:semiHidden="0" w:unhideWhenUsed="0"/>
    <w:lsdException w:name="footnote reference" w:uiPriority="0" w:semiHidden="0" w:unhideWhenUsed="0"/>
    <w:lsdException w:name="footnote text" w:uiPriority="0" w:semiHidden="0" w:unhideWhenUsed="0"/>
    <w:lsdException w:name="header" w:uiPriority="0" w:semiHidden="0" w:unhideWhenUsed="0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index heading" w:uiPriority="0" w:semiHidden="0" w:unhideWhenUsed="0"/>
    <w:lsdException w:name="line number" w:uiPriority="0" w:semiHidden="0" w:unhideWhenUsed="0"/>
    <w:lsdException w:name="macro" w:uiPriority="0" w:semiHidden="0" w:unhideWhenUsed="0"/>
    <w:lsdException w:name="page number" w:uiPriority="0" w:semiHidden="0" w:unhideWhenUsed="0"/>
    <w:lsdException w:name="table of authorities" w:uiPriority="0" w:semiHidden="0" w:unhideWhenUsed="0"/>
    <w:lsdException w:name="table of figures" w:uiPriority="0" w:semiHidden="0" w:unhideWhenUsed="0"/>
    <w:lsdException w:name="toa heading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</w:latentStyles>
  <w:style w:type="paragraph" w:styleId="1" w:default="1">
    <w:name w:val="Normal"/>
    <w:uiPriority w:val="0"/>
    <w:qFormat/>
    <w:pPr>
      <w:jc w:val="both"/>
      <w:widowControl w:val="0"/>
    </w:pPr>
    <w:rPr>
      <w:sz w:val="21"/>
      <w:lang w:val="en-US" w:eastAsia="zh-CN" w:bidi="ar-SA"/>
      <w:kern w:val="2"/>
      <w:szCs w:val="24"/>
      <w:rFonts w:asciiTheme="minorHAnsi" w:hAnsiTheme="minorHAnsi" w:eastAsiaTheme="minorEastAsia" w:cstheme="minorBidi"/>
    </w:rPr>
  </w:style>
  <w:style w:type="character" w:styleId="4" w:default="1">
    <w:name w:val="Default Paragraph Font"/>
    <w:uiPriority w:val="0"/>
    <w:semiHidden/>
    <w:qFormat/>
  </w:style>
  <w:style w:type="table" w:styleId="3" w:default="1">
    <w:name w:val="Normal Table"/>
    <w:uiPriority w:val="0"/>
    <w:semiHidden/>
    <w:qFormat/>
    <w:tblPr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paragraph" w:styleId="2">
    <w:name w:val="Normal (Web)"/>
    <w:basedOn w:val="1"/>
    <w:uiPriority w:val="0"/>
    <w:qFormat/>
    <w:pPr>
      <w:jc w:val="left"/>
      <w:spacing w:after="0" w:afterAutospacing="1" w:before="0" w:beforeAutospacing="1" w:lineRule="auto"/>
      <w:ind w:left="0" w:right="0"/>
    </w:pPr>
    <w:rPr>
      <w:sz w:val="24"/>
      <w:lang w:val="en-US" w:eastAsia="zh-CN" w:bidi="ar"/>
      <w:kern w:val="0"/>
    </w:rPr>
  </w:style>
  <w:style w:type="character" w:styleId="5">
    <w:name w:val="Strong"/>
    <w:basedOn w:val="4"/>
    <w:uiPriority w:val="0"/>
    <w:qFormat/>
    <w:rPr>
      <w:b w:val="1"/>
    </w:rPr>
  </w:style>
  <w:style w:type="character" w:styleId="6">
    <w:name w:val="Emphasis"/>
    <w:basedOn w:val="4"/>
    <w:uiPriority w:val="0"/>
    <w:qFormat/>
    <w:rPr>
      <w:i w:val="1"/>
    </w:rPr>
  </w:style>
</w:styles>
</file>

<file path=word/_rels/document.xml.rels><?xml version="1.0" encoding="UTF-8" standalone="yes"?><Relationships xmlns="http://schemas.openxmlformats.org/package/2006/relationships"><Relationship Id="rId12" Type="http://schemas.openxmlformats.org/officeDocument/2006/relationships/image" Target="media/image8.jpeg" /><Relationship Id="rId11" Type="http://schemas.openxmlformats.org/officeDocument/2006/relationships/image" Target="media/image7.jpeg" /><Relationship Id="rId10" Type="http://schemas.openxmlformats.org/officeDocument/2006/relationships/image" Target="media/image6.jpeg" /><Relationship Id="rId9" Type="http://schemas.openxmlformats.org/officeDocument/2006/relationships/image" Target="media/image5.jpeg" /><Relationship Id="rId6" Type="http://schemas.openxmlformats.org/officeDocument/2006/relationships/image" Target="media/image2.jpeg" /><Relationship Id="rId8" Type="http://schemas.openxmlformats.org/officeDocument/2006/relationships/image" Target="media/image4.jpeg" /><Relationship Id="rId7" Type="http://schemas.openxmlformats.org/officeDocument/2006/relationships/image" Target="media/image3.jpe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3" Type="http://schemas.openxmlformats.org/officeDocument/2006/relationships/theme" Target="theme/theme1.xml" /><Relationship Id="rId2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 panose=""/>
        <a:ea typeface=""/>
        <a:cs typeface="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MoolBoran"/>
        <a:font script="Syrc" typeface="Estrangelo Edessa"/>
        <a:font script="Thai" typeface="Angsana New"/>
        <a:font script="Gujr" typeface="Shruti"/>
        <a:font script="Uigh" typeface="Microsoft Uighur"/>
        <a:font script="Beng" typeface="Vrinda"/>
        <a:font script="Jpan" typeface="ＭＳ ゴシック"/>
        <a:font script="Thaa" typeface="MV Boli"/>
        <a:font script="Cher" typeface="Plantagenet Cherokee"/>
        <a:font script="Hebr" typeface="Times New Roman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Times New Roman"/>
        <a:font script="Hant" typeface="新細明體"/>
      </a:majorFont>
      <a:minorFont>
        <a:latin typeface="Calibri" panose=""/>
        <a:ea typeface=""/>
        <a:cs typeface="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DaunPenh"/>
        <a:font script="Syrc" typeface="Estrangelo Edessa"/>
        <a:font script="Thai" typeface="Cordia New"/>
        <a:font script="Gujr" typeface="Shruti"/>
        <a:font script="Uigh" typeface="Microsoft Uighur"/>
        <a:font script="Beng" typeface="Vrinda"/>
        <a:font script="Jpan" typeface="ＭＳ 明朝"/>
        <a:font script="Thaa" typeface="MV Boli"/>
        <a:font script="Cher" typeface="Plantagenet Cherokee"/>
        <a:font script="Hebr" typeface="Arial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Arial"/>
        <a:font script="Hant" typeface="新細明體"/>
      </a:minorFont>
    </a:fontScheme>
    <a:fmtScheme name="WPS">
      <a:fillStyleLst>
        <a:solidFill>
          <a:schemeClr val="phClr"/>
        </a:solidFill>
        <a:gradFill rotWithShape="0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 rotWithShape="0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prstDash val="solid"/>
          <a:miter lim="800000"/>
        </a:ln>
      </a:lnStyleLst>
      <a:effectStyleLst>
        <a:effectStyle>
          <a:effectLst>
            <a:outerShdw a:blurRad="101600" a:dist="50800" a:dir="5400000" a:algn="ctr" a:rotWithShape="0">
              <a:schemeClr val="phClr">
                <a:alpha val="60000"/>
              </a:schemeClr>
            </a:outerShdw>
          </a:effectLst>
        </a:effectStyle>
        <a:effectStyle>
          <a:effectLst>
            <a:reflection a:dist="25400" a:dir="5400000" a:sy="-100000" a:endA="300" a:endPos="40000" a:stA="50000" a:algn="bl"/>
          </a:effectLst>
        </a:effectStyle>
        <a:effectStyle>
          <a:effectLst>
            <a:outerShdw a:blurRad="57150" a:dist="19050" a:dir="5400000" a:algn="ctr" a: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17</TotalTime>
  <Pages>4</Pages>
  <Words>1275</Words>
  <Characters>1339</Characters>
  <Application>WPS Office_12.1.0.15712_F1E327BC-269C-435d-A152-05C5408002CA</Application>
  <DocSecurity>0</DocSecurity>
  <Lines>0</Lines>
  <Paragraphs>0</Paragraphs>
  <ScaleCrop>false</ScaleCrop>
  <Company/>
  <LinksUpToDate>false</LinksUpToDate>
  <CharactersWithSpaces>1339</CharactersWithSpaces>
  <SharedDoc>false</SharedDoc>
  <HyperlinksChanged>false</HyperlinksChanged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Administrator</dc:creator>
  <cp:keywords/>
  <dc:description/>
  <cp:lastModifiedBy>神秘的陈姓同学</cp:lastModifiedBy>
  <cp:revision>0</cp:revision>
  <dcterms:created xsi:type="dcterms:W3CDTF">2023-11-20T03:45:00Z</dcterms:created>
  <dcterms:modified xsi:type="dcterms:W3CDTF">2023-11-24T07:29:40Z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2052-12.1.0.15712</vt:lpwstr>
  </property>
  <property fmtid="{D5CDD505-2E9C-101B-9397-08002B2CF9AE}" pid="3" name="ICV">
    <vt:lpwstr>57171549EB684FACA0E61DA15032A525_13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</w:rPr>
      </w:pPr>
    </w:p>
    <w:p>
      <w:pPr>
        <w:jc w:val="center"/>
        <w:rPr>
          <w:sz w:val="22"/>
          <w:szCs w:val="28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标题：仅15天热销1.5亿，龙湖铂金岛席卷成都商业！</w:t>
      </w:r>
    </w:p>
    <w:p>
      <w:pPr>
        <w:jc w:val="left"/>
        <w:rPr>
          <w:rFonts w:hint="eastAsia" w:ascii="微软雅黑" w:hAnsi="微软雅黑" w:eastAsia="微软雅黑" w:cs="微软雅黑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龙湖光年铂金岛自11月面市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以来，不负久待震撼热映，开盘持续“狂飙”，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单日最高</w:t>
      </w:r>
      <w:r>
        <w:rPr>
          <w:rFonts w:hint="eastAsia" w:ascii="微软雅黑" w:hAnsi="微软雅黑" w:eastAsia="微软雅黑" w:cs="微软雅黑"/>
          <w:sz w:val="24"/>
          <w:szCs w:val="24"/>
        </w:rPr>
        <w:t>来访超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4"/>
          <w:szCs w:val="24"/>
        </w:rPr>
        <w:t>00组，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仅用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15天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热销约1.5亿，开盘去化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90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%，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员工及业主自购超60%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5265420" cy="1797050"/>
            <wp:effectExtent l="0" t="0" r="11430" b="12700"/>
            <wp:docPr id="7" name="图片 7" descr="add2ffd43c5231f208b4a76d010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dd2ffd43c5231f208b4a76d01029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微软雅黑" w:hAnsi="微软雅黑" w:eastAsia="微软雅黑" w:cs="微软雅黑"/>
          <w:i/>
          <w:i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i/>
          <w:iCs/>
          <w:sz w:val="21"/>
          <w:szCs w:val="21"/>
          <w:lang w:val="en-US" w:eastAsia="zh-CN"/>
        </w:rPr>
        <w:t>现场人气实拍图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铂金岛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可以说是“未开先火”，自面市以来得到了</w:t>
      </w:r>
      <w:r>
        <w:rPr>
          <w:rFonts w:hint="eastAsia" w:ascii="微软雅黑" w:hAnsi="微软雅黑" w:eastAsia="微软雅黑" w:cs="微软雅黑"/>
          <w:sz w:val="24"/>
          <w:szCs w:val="24"/>
        </w:rPr>
        <w:t>市场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的</w:t>
      </w:r>
      <w:r>
        <w:rPr>
          <w:rFonts w:hint="eastAsia" w:ascii="微软雅黑" w:hAnsi="微软雅黑" w:eastAsia="微软雅黑" w:cs="微软雅黑"/>
          <w:sz w:val="24"/>
          <w:szCs w:val="24"/>
        </w:rPr>
        <w:t>认可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中介大V</w:t>
      </w:r>
      <w:r>
        <w:rPr>
          <w:rFonts w:hint="eastAsia" w:ascii="微软雅黑" w:hAnsi="微软雅黑" w:eastAsia="微软雅黑" w:cs="微软雅黑"/>
          <w:sz w:val="24"/>
          <w:szCs w:val="24"/>
        </w:rPr>
        <w:t>纷纷自发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推广，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而且也备受龙湖业主推崇。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西宸天街铂金岛的业主李先生，手上已经有3套铺子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并且年年盈利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听说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光年</w:t>
      </w:r>
      <w:r>
        <w:rPr>
          <w:rFonts w:hint="eastAsia" w:ascii="微软雅黑" w:hAnsi="微软雅黑" w:eastAsia="微软雅黑" w:cs="微软雅黑"/>
          <w:sz w:val="24"/>
          <w:szCs w:val="24"/>
        </w:rPr>
        <w:t>铂金岛加推就立马赶来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sz w:val="24"/>
          <w:szCs w:val="24"/>
        </w:rPr>
        <w:t>就怕抢不到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那么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为什么大家对</w:t>
      </w:r>
      <w:r>
        <w:rPr>
          <w:rFonts w:hint="eastAsia" w:ascii="微软雅黑" w:hAnsi="微软雅黑" w:eastAsia="微软雅黑" w:cs="微软雅黑"/>
          <w:sz w:val="24"/>
          <w:szCs w:val="24"/>
        </w:rPr>
        <w:t>堪称永不过时的硬核资产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龙湖铂金岛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如此青睐？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178425" cy="4142740"/>
            <wp:effectExtent l="0" t="0" r="3175" b="10160"/>
            <wp:docPr id="8" name="图片 8" descr="9dcf9c0400004038834ce5268621d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dcf9c0400004038834ce5268621d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i/>
          <w:i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/>
          <w:iCs/>
          <w:sz w:val="24"/>
          <w:szCs w:val="24"/>
          <w:lang w:val="en-US" w:eastAsia="zh-CN"/>
        </w:rPr>
        <w:t>铂金岛效果图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其一，只有顶级的天街才有资格配置铂金岛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如果说龙湖光年「金钥匙」与不断兑现的实力，分别标定了超能大城的高度与厚度，龙湖光年铂金岛则进一步放大了约14万方驿都天街商业封面街的亮度。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u w:val="single"/>
          <w:lang w:val="en-US" w:eastAsia="zh-CN" w:bidi="ar-SA"/>
        </w:rPr>
        <w:t>翻开龙湖铂金岛的履历，不难看出非TOP级天街，不立铂金岛。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u w:val="single"/>
          <w:lang w:val="en-US" w:eastAsia="zh-CN" w:bidi="ar-SA"/>
        </w:rPr>
        <w:drawing>
          <wp:inline distT="0" distB="0" distL="114300" distR="114300">
            <wp:extent cx="3957320" cy="2338705"/>
            <wp:effectExtent l="0" t="0" r="5080" b="4445"/>
            <wp:docPr id="5" name="图片 5" descr="DSCF8238-HDR-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F8238-HDR-1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eastAsia" w:ascii="微软雅黑" w:hAnsi="微软雅黑" w:eastAsia="微软雅黑" w:cs="微软雅黑"/>
          <w:i/>
          <w:iCs/>
          <w:sz w:val="24"/>
          <w:szCs w:val="24"/>
          <w:lang w:val="en-US" w:eastAsia="zh-CN"/>
        </w:rPr>
        <w:t>西宸天街实拍图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西宸天街至今已吸引400+商家抢驻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，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日均超6万人次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，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一楼单铺租金约200-450元/m*月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，成为城西商业街区封面，人气火爆。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 w:line="360" w:lineRule="auto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而龙湖光年的驿都天街配置了天街面积最大约700㎡的裸眼3D大屏，及约180米光年魔方地标，堪称TOP级！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4027805" cy="2247900"/>
            <wp:effectExtent l="0" t="0" r="10795" b="0"/>
            <wp:docPr id="11" name="图片 11" descr="天街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天街效果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i/>
          <w:i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/>
          <w:iCs/>
          <w:sz w:val="24"/>
          <w:szCs w:val="24"/>
          <w:lang w:val="en-US" w:eastAsia="zh-CN"/>
        </w:rPr>
        <w:t>驿都天街效果图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  <w:t>其二，龙湖光年占位城东新芯财富圈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rPr>
          <w:rFonts w:hint="default" w:ascii="微软雅黑" w:hAnsi="微软雅黑" w:eastAsia="微软雅黑" w:cs="微软雅黑"/>
          <w:i/>
          <w:i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当开一座火一座的龙湖天街，遇上了城市东部新城中心板块，又与龙湖光年铂金岛封面街潜力重合，是难得的财富机遇。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从板块发展看，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2019年，成都正式将行政学院TOD确立为全市首批14个TOD示范项目之一，地理位置优势明显，属于一个承上启下的板块，驿都天街预估日均客流约6万起，地铁2号线日均约100万客流，3公里内覆盖60+高端社区，未来约50万常住消费力。叠加行政学院TOD价值的驿都天街未来的客流也是百万人潮汇集！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12" w:firstLineChars="200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8595" cy="3147695"/>
            <wp:effectExtent l="0" t="0" r="1905" b="1905"/>
            <wp:docPr id="13" name="图片 13" descr="50a8b146486989aeac8d79a16be7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0a8b146486989aeac8d79a16be79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/>
          <w:iCs/>
          <w:sz w:val="24"/>
          <w:szCs w:val="24"/>
          <w:lang w:val="en-US" w:eastAsia="zh-CN"/>
        </w:rPr>
        <w:t>龙湖光年区位鸟瞰效果图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其三，超强的硬核产品，新一代街区标杆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12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eastAsia="zh-CN"/>
        </w:rPr>
        <w:t>龙湖光年铂金岛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  <w:t>通过与天街的</w:t>
      </w:r>
      <w:r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  <w:t>业态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  <w:t>时间</w:t>
      </w:r>
      <w:r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  <w:t>互补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  <w:t>可</w:t>
      </w:r>
      <w:r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  <w:t>相互导流，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  <w:t>占据一个天街+地铁+公园+住宅+产业+办公的</w:t>
      </w:r>
      <w:r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  <w:t>无边际财富圈。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1、4大消费动线，与天街互补共赢；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约14万方驿都天街出入口，天街人潮第一站，连廊设计层层连廊直抵天街,客流循环流动。创新独岛式环幕商业，商铺双面临街，充分保障海量人流，并且与天街广场空间共享,深挖消费潜力。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此外还拥有</w:t>
      </w:r>
      <w:r>
        <w:rPr>
          <w:rFonts w:hint="eastAsia" w:ascii="微软雅黑" w:hAnsi="微软雅黑" w:eastAsia="微软雅黑" w:cs="微软雅黑"/>
          <w:sz w:val="24"/>
          <w:szCs w:val="24"/>
        </w:rPr>
        <w:t>黄金开间进深比例，1比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2.8左右，</w:t>
      </w:r>
      <w:r>
        <w:rPr>
          <w:rFonts w:hint="eastAsia" w:ascii="微软雅黑" w:hAnsi="微软雅黑" w:eastAsia="微软雅黑" w:cs="微软雅黑"/>
          <w:sz w:val="24"/>
          <w:szCs w:val="24"/>
        </w:rPr>
        <w:t>层高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约</w:t>
      </w:r>
      <w:r>
        <w:rPr>
          <w:rFonts w:hint="eastAsia" w:ascii="微软雅黑" w:hAnsi="微软雅黑" w:eastAsia="微软雅黑" w:cs="微软雅黑"/>
          <w:sz w:val="24"/>
          <w:szCs w:val="24"/>
        </w:rPr>
        <w:t>6.1M，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可以利用</w:t>
      </w:r>
      <w:r>
        <w:rPr>
          <w:rFonts w:hint="eastAsia" w:ascii="微软雅黑" w:hAnsi="微软雅黑" w:eastAsia="微软雅黑" w:cs="微软雅黑"/>
          <w:sz w:val="24"/>
          <w:szCs w:val="24"/>
        </w:rPr>
        <w:t>大外摆灵活设计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创造更多收益。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73675" cy="2988310"/>
            <wp:effectExtent l="0" t="0" r="3175" b="2540"/>
            <wp:docPr id="3" name="图片 3" descr="铂金岛人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铂金岛人流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龙湖强大的招商能力，500强企业入驻；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龙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湖强大的地产招商体系及完善的后期物业服务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二手租售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能力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都能为商业的经营提供保障。而铂金岛的定位与天街共享龙湖商业品牌资源，利用天街品牌的牵引力去反哺铂金岛。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现目前</w:t>
      </w:r>
      <w:r>
        <w:rPr>
          <w:rFonts w:hint="eastAsia" w:ascii="微软雅黑" w:hAnsi="微软雅黑" w:eastAsia="微软雅黑" w:cstheme="minorBidi"/>
          <w:b/>
          <w:bCs/>
          <w:kern w:val="2"/>
          <w:sz w:val="24"/>
          <w:szCs w:val="24"/>
          <w:lang w:val="en-US" w:eastAsia="zh-CN" w:bidi="ar-SA"/>
        </w:rPr>
        <w:t>麦当劳、幸运咖已签约入驻，还有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更多的一线品牌洽谈中。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269865" cy="2986405"/>
            <wp:effectExtent l="0" t="0" r="6985" b="4445"/>
            <wp:docPr id="4" name="图片 4" descr="1088b4b822765ec8fc3924e2b45fb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88b4b822765ec8fc3924e2b45fbf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u w:val="none"/>
          <w:lang w:val="en-US" w:eastAsia="zh-CN" w:bidi="ar-SA"/>
        </w:rPr>
        <w:t>集「城势」与「财势」于一身的龙湖光年，以揽金约45亿的优势热领板块，成为城东的顶流大盘，并且天街住宅也持续热销中。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建面约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177㎡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瑰丽奢装大平层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，近10m贯通式阳台，约50㎡LDK一体化设计、还有尺度阔绰的厨房，并搭配了汉斯格雅、西门子、杜拉维特、德国威能等一线品牌，采用了数十种奢石，精装标准非常高。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471160" cy="3030220"/>
            <wp:effectExtent l="0" t="0" r="2540" b="5080"/>
            <wp:docPr id="9" name="图片 9" descr="10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.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建面约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1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85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㎡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总裁奢装墅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约6000元/㎡标准豪装，全四套房设计，为商务领袖营造大气隽永的空间，甄选汉斯格雅、杜拉维特、</w:t>
      </w:r>
      <w:bookmarkStart w:id="0" w:name="_GoBack"/>
      <w:bookmarkEnd w:id="0"/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日立等顶奢品牌，勾勒奢华、典雅的空间美学。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6690" cy="2962910"/>
            <wp:effectExtent l="0" t="0" r="3810" b="8890"/>
            <wp:docPr id="1" name="图片 1" descr="5760f40668b0369f34d239d08b00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760f40668b0369f34d239d08b00fc5"/>
                    <pic:cNvPicPr>
                      <a:picLocks noChangeAspect="1"/>
                    </pic:cNvPicPr>
                  </pic:nvPicPr>
                  <pic:blipFill>
                    <a:blip r:embed="rId12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截至目前，光年已揽金45亿，火爆热销席位难得，敬请预约品鉴。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