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210" w:afterAutospacing="0" w:line="21" w:lineRule="atLeast"/>
        <w:ind w:left="0" w:right="0" w:firstLine="0"/>
        <w:jc w:val="center"/>
        <w:rPr>
          <w:rFonts w:hint="eastAsia" w:ascii="宋体" w:hAnsi="宋体" w:eastAsia="宋体" w:cs="宋体"/>
          <w:b w:val="0"/>
          <w:bCs w:val="0"/>
          <w:i w:val="0"/>
          <w:iCs w:val="0"/>
          <w:caps w:val="0"/>
          <w:spacing w:val="8"/>
          <w:sz w:val="30"/>
          <w:szCs w:val="30"/>
          <w:shd w:val="clear" w:color="auto" w:fill="FFFFFF"/>
          <w:lang w:val="en-US" w:eastAsia="zh-CN"/>
        </w:rPr>
      </w:pPr>
      <w:r>
        <w:rPr>
          <w:rFonts w:hint="eastAsia" w:ascii="宋体" w:hAnsi="宋体" w:eastAsia="宋体" w:cs="宋体"/>
          <w:b w:val="0"/>
          <w:bCs w:val="0"/>
          <w:i w:val="0"/>
          <w:iCs w:val="0"/>
          <w:caps w:val="0"/>
          <w:spacing w:val="8"/>
          <w:sz w:val="30"/>
          <w:szCs w:val="30"/>
          <w:shd w:val="clear" w:color="auto" w:fill="FFFFFF"/>
          <w:lang w:val="en-US" w:eastAsia="zh-CN"/>
        </w:rPr>
        <w:t>本网-综合资讯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lang w:val="en-US" w:eastAsia="zh-CN"/>
        </w:rPr>
        <w:t>广元市</w:t>
      </w:r>
      <w:r>
        <w:rPr>
          <w:rFonts w:hint="eastAsia" w:ascii="方正小标宋简体" w:hAnsi="方正小标宋简体" w:eastAsia="方正小标宋简体" w:cs="方正小标宋简体"/>
          <w:sz w:val="44"/>
          <w:szCs w:val="44"/>
          <w:lang w:eastAsia="zh-CN"/>
        </w:rPr>
        <w:t>青川县市场监管局与</w:t>
      </w:r>
      <w:r>
        <w:rPr>
          <w:rFonts w:hint="eastAsia"/>
          <w:lang w:val="en-US" w:eastAsia="zh-CN"/>
        </w:rPr>
        <w:t>绵阳市</w:t>
      </w:r>
      <w:r>
        <w:rPr>
          <w:rFonts w:hint="eastAsia" w:ascii="方正小标宋简体" w:hAnsi="方正小标宋简体" w:eastAsia="方正小标宋简体" w:cs="方正小标宋简体"/>
          <w:sz w:val="44"/>
          <w:szCs w:val="44"/>
          <w:lang w:eastAsia="zh-CN"/>
        </w:rPr>
        <w:t>安州区市场监管局举行结对帮扶框架协议签约仪式</w:t>
      </w:r>
    </w:p>
    <w:p>
      <w:pPr>
        <w:pStyle w:val="3"/>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lang w:val="en-US" w:eastAsia="zh-CN"/>
        </w:rPr>
      </w:pPr>
      <w:r>
        <w:rPr>
          <w:rFonts w:hint="eastAsia"/>
          <w:lang w:eastAsia="zh-CN"/>
        </w:rPr>
        <w:t>根据省委、省政府关于先发带后发托底性帮扶工作相关部署和县委、县政府要求，</w:t>
      </w:r>
      <w:r>
        <w:rPr>
          <w:rFonts w:hint="eastAsia"/>
          <w:lang w:val="en-US" w:eastAsia="zh-CN"/>
        </w:rPr>
        <w:t>12月6日，青川县市场监管局党组书记、局长何先海带队到绵阳市安州区市场监管局对接帮扶工作，签订帮扶框架协议。</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lang w:val="en-US" w:eastAsia="zh-CN"/>
        </w:rPr>
      </w:pPr>
      <w:r>
        <w:rPr>
          <w:rFonts w:hint="default"/>
          <w:lang w:val="en-US" w:eastAsia="zh-CN"/>
        </w:rPr>
        <w:drawing>
          <wp:inline distT="0" distB="0" distL="114300" distR="114300">
            <wp:extent cx="5565775" cy="4174490"/>
            <wp:effectExtent l="0" t="0" r="15875" b="16510"/>
            <wp:docPr id="2" name="图片 2" descr="BA78F8AB339E7C271C402969D0DBD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A78F8AB339E7C271C402969D0DBD8B7"/>
                    <pic:cNvPicPr>
                      <a:picLocks noChangeAspect="1"/>
                    </pic:cNvPicPr>
                  </pic:nvPicPr>
                  <pic:blipFill>
                    <a:blip r:embed="rId4"/>
                    <a:stretch>
                      <a:fillRect/>
                    </a:stretch>
                  </pic:blipFill>
                  <pic:spPr>
                    <a:xfrm>
                      <a:off x="0" y="0"/>
                      <a:ext cx="5565775" cy="4174490"/>
                    </a:xfrm>
                    <a:prstGeom prst="rect">
                      <a:avLst/>
                    </a:prstGeom>
                  </pic:spPr>
                </pic:pic>
              </a:graphicData>
            </a:graphic>
          </wp:inline>
        </w:drawing>
      </w:r>
    </w:p>
    <w:p>
      <w:pPr>
        <w:pStyle w:val="3"/>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eastAsia"/>
          <w:lang w:val="en-US" w:eastAsia="zh-CN"/>
        </w:rPr>
      </w:pPr>
      <w:r>
        <w:rPr>
          <w:rFonts w:hint="eastAsia"/>
          <w:lang w:val="en-US" w:eastAsia="zh-CN"/>
        </w:rPr>
        <w:t>座谈会上，绵阳市安州区市场监管局党组书记林世贵对青川县市场监管局一行的到来表示欢迎，双方主要领导分别向与会人员详细介绍了本单位的机构设置、职能职责、干部队伍等基本情况，就党建引领组织共建、干部人才携手共育、监管执法合作共抓、重点项目聚力共谋等内容深入交换意见，达成广泛共识，签订了结对帮扶框架协议。</w:t>
      </w:r>
    </w:p>
    <w:p>
      <w:pPr>
        <w:rPr>
          <w:rFonts w:hint="default"/>
          <w:lang w:val="en-US" w:eastAsia="zh-CN"/>
        </w:rPr>
      </w:pPr>
      <w:r>
        <w:rPr>
          <w:rFonts w:hint="default"/>
          <w:lang w:val="en-US" w:eastAsia="zh-CN"/>
        </w:rPr>
        <w:drawing>
          <wp:inline distT="0" distB="0" distL="114300" distR="114300">
            <wp:extent cx="5608320" cy="4206240"/>
            <wp:effectExtent l="0" t="0" r="11430" b="3810"/>
            <wp:docPr id="3" name="图片 3" descr="W10%TX[H``8AL][PT}ZFS_S_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10%TX[H``8AL][PT}ZFS_S_tmb"/>
                    <pic:cNvPicPr>
                      <a:picLocks noChangeAspect="1"/>
                    </pic:cNvPicPr>
                  </pic:nvPicPr>
                  <pic:blipFill>
                    <a:blip r:embed="rId5"/>
                    <a:stretch>
                      <a:fillRect/>
                    </a:stretch>
                  </pic:blipFill>
                  <pic:spPr>
                    <a:xfrm>
                      <a:off x="0" y="0"/>
                      <a:ext cx="5608320" cy="4206240"/>
                    </a:xfrm>
                    <a:prstGeom prst="rect">
                      <a:avLst/>
                    </a:prstGeom>
                  </pic:spPr>
                </pic:pic>
              </a:graphicData>
            </a:graphic>
          </wp:inline>
        </w:drawing>
      </w:r>
    </w:p>
    <w:p>
      <w:pPr>
        <w:rPr>
          <w:rFonts w:hint="eastAsia"/>
          <w:lang w:val="en-US" w:eastAsia="zh-CN"/>
        </w:rPr>
      </w:pPr>
      <w:r>
        <w:rPr>
          <w:rFonts w:hint="default"/>
          <w:lang w:val="en-US" w:eastAsia="zh-CN"/>
        </w:rPr>
        <w:drawing>
          <wp:inline distT="0" distB="0" distL="114300" distR="114300">
            <wp:extent cx="5565775" cy="4174490"/>
            <wp:effectExtent l="0" t="0" r="15875" b="16510"/>
            <wp:docPr id="1" name="图片 1" descr="BF843BFA12E5A15038E41BB7AD29BC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F843BFA12E5A15038E41BB7AD29BC5D"/>
                    <pic:cNvPicPr>
                      <a:picLocks noChangeAspect="1"/>
                    </pic:cNvPicPr>
                  </pic:nvPicPr>
                  <pic:blipFill>
                    <a:blip r:embed="rId6"/>
                    <a:stretch>
                      <a:fillRect/>
                    </a:stretch>
                  </pic:blipFill>
                  <pic:spPr>
                    <a:xfrm>
                      <a:off x="0" y="0"/>
                      <a:ext cx="5565775" cy="4174490"/>
                    </a:xfrm>
                    <a:prstGeom prst="rect">
                      <a:avLst/>
                    </a:prstGeom>
                  </pic:spPr>
                </pic:pic>
              </a:graphicData>
            </a:graphic>
          </wp:inline>
        </w:drawing>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default"/>
          <w:lang w:val="en-US" w:eastAsia="zh-CN"/>
        </w:rPr>
      </w:pPr>
      <w:r>
        <w:rPr>
          <w:rFonts w:hint="eastAsia"/>
          <w:lang w:val="en-US" w:eastAsia="zh-CN"/>
        </w:rPr>
        <w:t>双方表示，要以此次结对帮扶为契机，建立同志加兄弟的深厚友谊，深化两地监管执法、知识产权保护、质量品牌培育、基层所建设等市场监管业务沟通、交流、合作，积极开展多形式、多层次、全方位的结对帮扶协作，推动两地市场监管工作高质量协同发展。（吴杰）</w:t>
      </w:r>
    </w:p>
    <w:p>
      <w:pPr>
        <w:pStyle w:val="3"/>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textAlignment w:val="auto"/>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C6484ED0-C3A9-4F9A-B3EC-65D2591A9577}"/>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000000"/>
    <w:rsid w:val="01BF64E7"/>
    <w:rsid w:val="0738229E"/>
    <w:rsid w:val="0773790D"/>
    <w:rsid w:val="07E3691C"/>
    <w:rsid w:val="0AB80DB3"/>
    <w:rsid w:val="1A2E1092"/>
    <w:rsid w:val="266545C5"/>
    <w:rsid w:val="28A10C81"/>
    <w:rsid w:val="4828061F"/>
    <w:rsid w:val="4AA678C5"/>
    <w:rsid w:val="4FA52A2B"/>
    <w:rsid w:val="56FC6571"/>
    <w:rsid w:val="61BE4076"/>
    <w:rsid w:val="635F1CEC"/>
    <w:rsid w:val="76196326"/>
    <w:rsid w:val="7F901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2">
    <w:name w:val="heading 1"/>
    <w:basedOn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able of figures"/>
    <w:basedOn w:val="1"/>
    <w:next w:val="1"/>
    <w:qFormat/>
    <w:uiPriority w:val="0"/>
    <w:pPr>
      <w:ind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暮晖</cp:lastModifiedBy>
  <dcterms:modified xsi:type="dcterms:W3CDTF">2023-12-08T02:58:35Z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02C302526129437CA18BCC658E61E7B4_13</vt:lpwstr>
  </property>
</Properties>
</file>