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旺苍县市场监管局三项举措守住网络销售药品最后一公里安全关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今年以来，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旺苍县市场监管局通过指导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21家网络销售药品经营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企业将药品配送质量管理制度纳入药品经营质量管理体系，加强网售药品配送全过程管理，切实保障网售药品质量安全，真正让消费者“点的放心，用得安心”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切实守住网络销售药品最后一公里安全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一是建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  <w:lang w:val="en-US" w:eastAsia="zh-CN"/>
        </w:rPr>
        <w:t>章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立制，责任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  <w:lang w:val="en-US" w:eastAsia="zh-CN"/>
        </w:rPr>
        <w:t>到位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督促企业将委托配送单位配送活动纳入自身质量管理体系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通过调研，征求一心堂、芝心大药房等企业意见后，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研究拟定委托配送协议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格式化模板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，供企业参考，指导药品零售配送环节药品追溯管理等工作，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督促企业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与配送单位签订委托配送协议，明确质量责任、操作规程、在途时限等内容。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二是强化培训，管理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  <w:lang w:val="en-US" w:eastAsia="zh-CN"/>
        </w:rPr>
        <w:t>到位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督促企业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对零售药店、外卖骑手配送规范化培训，使相关人员能正确理解并履职尽责，打造全流程规范化配送。配送企业在包装上要使用一次性封口字条，即封签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封签拆启后应当无法恢复原状、无法重复使用。配送人员在配送过程中应当保持配送药品封签完整，确保药品不受污染。消费者在接收药品时，应当场查验配送药品封签，封签不完整或已被破坏的，应当拒收。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三是</w:t>
      </w:r>
      <w:r>
        <w:rPr>
          <w:rFonts w:hint="eastAsia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检查，查处到位。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线上监测药品零售配送方面的舆情动态信息，严查药品网络销售违法行为。线下同步出击，开展联合专项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检查，指导零售药店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《药品经营质量管理规范附录6：药品零售配送质量管理》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对药品零售过程（网络零售）所涉及的药品配送行为的质量管理进行规范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建立并践行风险防范制度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药品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网络销售企业未签订规范的委托配送协议的行为进行立案查处。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李仕芬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）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BE6D16-3B10-4D3F-999B-B4191A1BDE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EFA48C8-2DC7-4B2D-A567-04F594435D9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DEDE2C6-0E19-40E5-819F-1CFFFC824D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6CA21032"/>
    <w:rsid w:val="01E23011"/>
    <w:rsid w:val="02105DD0"/>
    <w:rsid w:val="09774987"/>
    <w:rsid w:val="0AAD64D4"/>
    <w:rsid w:val="0ABC0099"/>
    <w:rsid w:val="0BAF665A"/>
    <w:rsid w:val="0CC47EE3"/>
    <w:rsid w:val="122E4051"/>
    <w:rsid w:val="148A7C64"/>
    <w:rsid w:val="17970EBB"/>
    <w:rsid w:val="18A369B0"/>
    <w:rsid w:val="192835A8"/>
    <w:rsid w:val="19C75C0E"/>
    <w:rsid w:val="1CF06AD2"/>
    <w:rsid w:val="1E234C86"/>
    <w:rsid w:val="216965F7"/>
    <w:rsid w:val="21AF7E2E"/>
    <w:rsid w:val="22F03F78"/>
    <w:rsid w:val="251C7284"/>
    <w:rsid w:val="26B8706F"/>
    <w:rsid w:val="292A511A"/>
    <w:rsid w:val="29B41A1A"/>
    <w:rsid w:val="2D23117F"/>
    <w:rsid w:val="2F6A44C2"/>
    <w:rsid w:val="32D84E17"/>
    <w:rsid w:val="34D0301A"/>
    <w:rsid w:val="37EF7C5B"/>
    <w:rsid w:val="3DD551FD"/>
    <w:rsid w:val="3E1675C3"/>
    <w:rsid w:val="402B47D3"/>
    <w:rsid w:val="41770B29"/>
    <w:rsid w:val="42B94C36"/>
    <w:rsid w:val="4865056C"/>
    <w:rsid w:val="48AF40C1"/>
    <w:rsid w:val="48C26D11"/>
    <w:rsid w:val="4AF15640"/>
    <w:rsid w:val="4DA501B7"/>
    <w:rsid w:val="4E1A6C5C"/>
    <w:rsid w:val="50F062F4"/>
    <w:rsid w:val="54DA05FA"/>
    <w:rsid w:val="5AE76118"/>
    <w:rsid w:val="5C9815A6"/>
    <w:rsid w:val="600D1CAC"/>
    <w:rsid w:val="62A969EB"/>
    <w:rsid w:val="694057DD"/>
    <w:rsid w:val="6CA21032"/>
    <w:rsid w:val="6D7C381F"/>
    <w:rsid w:val="6EF63B19"/>
    <w:rsid w:val="70D94A29"/>
    <w:rsid w:val="737E1B01"/>
    <w:rsid w:val="74BD01BD"/>
    <w:rsid w:val="78866B18"/>
    <w:rsid w:val="797452C7"/>
    <w:rsid w:val="7DB5158B"/>
    <w:rsid w:val="7FB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2023-12-11T07:05:00Z</dcterms:created>
  <dc:creator>程门立雪藥</dc:creator>
  <cp:lastModifiedBy>暮晖</cp:lastModifiedBy>
  <dcterms:modified xsi:type="dcterms:W3CDTF">2023-12-19T09:10:31Z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4ED9AB962D3E48FA9DDC907805213B5D_13</vt:lpwstr>
  </property>
</Properties>
</file>