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32"/>
          <w:szCs w:val="32"/>
          <w:lang w:val="en"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32"/>
          <w:szCs w:val="32"/>
          <w:lang w:val="en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" w:eastAsia="zh-CN"/>
        </w:rPr>
        <w:t>四川苍溪：</w:t>
      </w:r>
      <w:r>
        <w:rPr>
          <w:rFonts w:hint="default" w:ascii="微软雅黑" w:hAnsi="微软雅黑" w:eastAsia="微软雅黑" w:cs="微软雅黑"/>
          <w:sz w:val="32"/>
          <w:szCs w:val="32"/>
          <w:lang w:eastAsia="zh-CN"/>
        </w:rPr>
        <w:t>开展2024年</w:t>
      </w:r>
      <w:r>
        <w:rPr>
          <w:rFonts w:hint="eastAsia" w:ascii="微软雅黑" w:hAnsi="微软雅黑" w:eastAsia="微软雅黑" w:cs="微软雅黑"/>
          <w:sz w:val="32"/>
          <w:szCs w:val="32"/>
          <w:lang w:val="en" w:eastAsia="zh-CN"/>
        </w:rPr>
        <w:t>森林火灾“双盲”实战演练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进一步检验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乡镇森林火灾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应急处置办法的实用性和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操作性，提升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森林扑火队伍森林火灾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处置能力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default" w:ascii="仿宋_GB2312" w:hAnsi="仿宋_GB2312" w:eastAsia="仿宋_GB2312" w:cs="仿宋_GB2312"/>
          <w:sz w:val="32"/>
          <w:szCs w:val="32"/>
        </w:rPr>
        <w:t>苍溪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森林防灭火指挥部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组织开展苍溪县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2024年森林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“双盲”实战演练</w:t>
      </w:r>
      <w:r>
        <w:rPr>
          <w:rFonts w:hint="default" w:ascii="仿宋_GB2312" w:hAnsi="仿宋_GB2312" w:eastAsia="仿宋_GB2312" w:cs="仿宋_GB2312"/>
          <w:sz w:val="32"/>
          <w:szCs w:val="32"/>
        </w:rPr>
        <w:t>（第一场）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firstLine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588000" cy="4191000"/>
            <wp:effectExtent l="0" t="0" r="12700" b="0"/>
            <wp:docPr id="1" name="图片 3" descr="微信图片_2023122116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2312211644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“云峰镇党政办，刚接群众报告，你镇赤土垭村疑似发生森林火情，请迅速核实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、处置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。”随着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县森防指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办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eastAsia="zh-CN" w:bidi="ar-SA"/>
        </w:rPr>
        <w:t>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工作人员电话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苍溪县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2024年森林</w:t>
      </w:r>
      <w:r>
        <w:rPr>
          <w:rFonts w:hint="eastAsia" w:ascii="仿宋_GB2312" w:hAnsi="仿宋_GB2312" w:eastAsia="仿宋_GB2312" w:cs="仿宋_GB2312"/>
          <w:sz w:val="32"/>
          <w:szCs w:val="32"/>
        </w:rPr>
        <w:t>火灾“双盲”实战演练</w:t>
      </w:r>
      <w:r>
        <w:rPr>
          <w:rFonts w:hint="default" w:ascii="仿宋_GB2312" w:hAnsi="仿宋_GB2312" w:eastAsia="仿宋_GB2312" w:cs="仿宋_GB2312"/>
          <w:sz w:val="32"/>
          <w:szCs w:val="32"/>
        </w:rPr>
        <w:t>（第一场）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正式拉开序幕。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5588000" cy="4191000"/>
            <wp:effectExtent l="0" t="0" r="12700" b="0"/>
            <wp:docPr id="2" name="图片 3" descr="170314586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7031458663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本次演练模拟苍溪县云峰镇赤土垭村发生森林火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火情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核实后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，镇、村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两级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扑火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队伍闻令而动迅速赶往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起火地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经过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火情侦查、现场研判、队伍集结、火场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管控、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力量增援、火灾扑救、余火清理、火场看守等处置，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顺利完成了火灾应急处置任务，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达到了森林火灾“双盲”实战演练的预期目的和效果。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据统计，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此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次演练共出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动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镇村森林扑火队伍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80余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人，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物资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装备1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firstLine="64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次演练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不预设时间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不预设场景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预设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脚本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不提前通知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，着力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解决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演练套路化、表演化的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问题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，真实展示了镇村一线扑火队伍处置森林初期火灾的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能力和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水平。”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县森防指相关负责人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表示，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下一步，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苍溪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县将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进一步探索“双盲”演练机制，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“双盲”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演练频率，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以最接近实战的演练检验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应急预案和响应机制，提升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基层一线森林扑火队伍的能力。（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陶欢）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A6659459-CD3B-44F6-83AA-01201F0177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3583C51-9197-46FE-8CFD-C665DE6498BA}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87BB2F9D-E4BE-4A70-8DAA-83F60EAD4C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AFB3036"/>
    <w:rsid w:val="3B537B19"/>
    <w:rsid w:val="7A165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宋体" w:cs="Times New Roman"/>
    </w:rPr>
  </w:style>
  <w:style w:type="paragraph" w:styleId="4">
    <w:name w:val="heading 1"/>
    <w:basedOn w:val="1"/>
    <w:autoRedefine/>
    <w:qFormat/>
    <w:uiPriority w:val="0"/>
    <w:pPr>
      <w:spacing w:before="480"/>
    </w:pPr>
    <w:rPr>
      <w:b/>
      <w:color w:val="345A8A"/>
      <w:sz w:val="32"/>
    </w:rPr>
  </w:style>
  <w:style w:type="paragraph" w:styleId="5">
    <w:name w:val="heading 2"/>
    <w:basedOn w:val="1"/>
    <w:next w:val="1"/>
    <w:autoRedefine/>
    <w:qFormat/>
    <w:uiPriority w:val="0"/>
    <w:pPr>
      <w:spacing w:before="200"/>
    </w:pPr>
    <w:rPr>
      <w:b/>
      <w:color w:val="4F81BD"/>
      <w:sz w:val="26"/>
    </w:rPr>
  </w:style>
  <w:style w:type="paragraph" w:styleId="6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7">
    <w:name w:val="Subtitle"/>
    <w:basedOn w:val="1"/>
    <w:qFormat/>
    <w:uiPriority w:val="0"/>
    <w:rPr>
      <w:i/>
      <w:color w:val="4F81BD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12">
    <w:name w:val="UserStyle_0"/>
    <w:basedOn w:val="13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both"/>
      <w:textAlignment w:val="baseline"/>
      <w:outlineLvl w:val="9"/>
    </w:pPr>
    <w:rPr>
      <w:rFonts w:ascii="Times New Roman" w:hAnsi="Times New Roman" w:eastAsia="宋体"/>
      <w:color w:val="auto"/>
      <w:spacing w:val="0"/>
      <w:w w:val="100"/>
      <w:kern w:val="2"/>
      <w:position w:val="0"/>
      <w:sz w:val="24"/>
      <w:szCs w:val="24"/>
      <w:u w:val="none" w:color="auto"/>
      <w:lang w:val="en-US" w:eastAsia="zh-CN"/>
    </w:rPr>
  </w:style>
  <w:style w:type="paragraph" w:customStyle="1" w:styleId="13">
    <w:name w:val="UserStyle_1"/>
    <w:basedOn w:val="1"/>
    <w:qFormat/>
    <w:uiPriority w:val="0"/>
    <w:pPr>
      <w:ind w:firstLine="560"/>
      <w:jc w:val="both"/>
      <w:textAlignment w:val="baseline"/>
    </w:pPr>
    <w:rPr>
      <w:rFonts w:ascii="等线" w:hAnsi="等线" w:eastAsia="等线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暮晖</cp:lastModifiedBy>
  <dcterms:modified xsi:type="dcterms:W3CDTF">2023-12-22T08:16:17Z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17B2617D1080455496B615EC9E64612A_13</vt:lpwstr>
  </property>
</Properties>
</file>