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4"/>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36"/>
          <w:szCs w:val="36"/>
          <w:lang w:val="en-US" w:eastAsia="zh-CN"/>
        </w:rPr>
      </w:pPr>
    </w:p>
    <w:p>
      <w:pPr>
        <w:pStyle w:val="4"/>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36"/>
          <w:szCs w:val="36"/>
        </w:rPr>
      </w:pPr>
      <w:r>
        <w:rPr>
          <w:rFonts w:hint="eastAsia" w:ascii="微软雅黑" w:hAnsi="微软雅黑" w:eastAsia="微软雅黑" w:cs="微软雅黑"/>
          <w:i w:val="0"/>
          <w:iCs w:val="0"/>
          <w:caps w:val="0"/>
          <w:color w:val="000000"/>
          <w:spacing w:val="0"/>
          <w:sz w:val="36"/>
          <w:szCs w:val="36"/>
          <w:lang w:val="en-US" w:eastAsia="zh-CN"/>
        </w:rPr>
        <w:t>四川苍溪</w:t>
      </w:r>
      <w:r>
        <w:rPr>
          <w:rFonts w:hint="eastAsia" w:ascii="微软雅黑" w:hAnsi="微软雅黑" w:eastAsia="微软雅黑" w:cs="微软雅黑"/>
          <w:i w:val="0"/>
          <w:iCs w:val="0"/>
          <w:caps w:val="0"/>
          <w:color w:val="000000"/>
          <w:spacing w:val="0"/>
          <w:sz w:val="36"/>
          <w:szCs w:val="36"/>
        </w:rPr>
        <w:t>：</w:t>
      </w:r>
      <w:bookmarkStart w:id="0" w:name="_GoBack"/>
      <w:bookmarkEnd w:id="0"/>
    </w:p>
    <w:p>
      <w:pPr>
        <w:pStyle w:val="4"/>
        <w:keepNext w:val="0"/>
        <w:keepLines w:val="0"/>
        <w:widowControl/>
        <w:suppressLineNumbers w:val="0"/>
        <w:ind w:left="0" w:firstLine="0"/>
        <w:jc w:val="center"/>
        <w:rPr>
          <w:rFonts w:ascii="微软雅黑" w:hAnsi="微软雅黑" w:eastAsia="微软雅黑" w:cs="微软雅黑"/>
          <w:i w:val="0"/>
          <w:iCs w:val="0"/>
          <w:caps w:val="0"/>
          <w:color w:val="000000"/>
          <w:spacing w:val="0"/>
          <w:sz w:val="36"/>
          <w:szCs w:val="36"/>
        </w:rPr>
      </w:pPr>
      <w:r>
        <w:rPr>
          <w:rFonts w:hint="eastAsia" w:ascii="微软雅黑" w:hAnsi="微软雅黑" w:eastAsia="微软雅黑" w:cs="微软雅黑"/>
          <w:i w:val="0"/>
          <w:iCs w:val="0"/>
          <w:caps w:val="0"/>
          <w:color w:val="000000"/>
          <w:spacing w:val="0"/>
          <w:sz w:val="36"/>
          <w:szCs w:val="36"/>
        </w:rPr>
        <w:t>多措并举</w:t>
      </w:r>
      <w:r>
        <w:rPr>
          <w:rFonts w:hint="eastAsia" w:ascii="微软雅黑" w:hAnsi="微软雅黑" w:eastAsia="微软雅黑" w:cs="微软雅黑"/>
          <w:i w:val="0"/>
          <w:iCs w:val="0"/>
          <w:caps w:val="0"/>
          <w:color w:val="000000"/>
          <w:spacing w:val="0"/>
          <w:sz w:val="36"/>
          <w:szCs w:val="36"/>
          <w:lang w:val="en-US" w:eastAsia="zh-CN"/>
        </w:rPr>
        <w:t xml:space="preserve"> </w:t>
      </w:r>
      <w:r>
        <w:rPr>
          <w:rFonts w:hint="eastAsia" w:ascii="微软雅黑" w:hAnsi="微软雅黑" w:eastAsia="微软雅黑" w:cs="微软雅黑"/>
          <w:i w:val="0"/>
          <w:iCs w:val="0"/>
          <w:caps w:val="0"/>
          <w:color w:val="000000"/>
          <w:spacing w:val="0"/>
          <w:sz w:val="36"/>
          <w:szCs w:val="36"/>
        </w:rPr>
        <w:t>全力做好农民工工资支付保障工作</w:t>
      </w:r>
    </w:p>
    <w:p>
      <w:pPr>
        <w:pStyle w:val="3"/>
        <w:widowControl/>
        <w:kinsoku w:val="0"/>
        <w:autoSpaceDE w:val="0"/>
        <w:autoSpaceDN w:val="0"/>
        <w:adjustRightInd w:val="0"/>
        <w:snapToGrid w:val="0"/>
        <w:spacing w:before="207" w:line="343" w:lineRule="auto"/>
        <w:ind w:firstLine="670"/>
        <w:jc w:val="left"/>
        <w:textAlignment w:val="baseline"/>
        <w:rPr>
          <w:rFonts w:hint="eastAsia"/>
          <w:snapToGrid w:val="0"/>
          <w:color w:val="000000"/>
          <w:spacing w:val="6"/>
          <w:kern w:val="0"/>
        </w:rPr>
      </w:pPr>
      <w:r>
        <w:rPr>
          <w:rFonts w:hint="eastAsia"/>
          <w:snapToGrid w:val="0"/>
          <w:color w:val="000000"/>
          <w:spacing w:val="6"/>
          <w:kern w:val="0"/>
        </w:rPr>
        <w:t>为切实做好交通运输领域农民工工资支付保障工作，确保农民工劳动权益得到依法维护，</w:t>
      </w:r>
      <w:r>
        <w:rPr>
          <w:rFonts w:hint="eastAsia"/>
          <w:snapToGrid w:val="0"/>
          <w:color w:val="000000"/>
          <w:spacing w:val="6"/>
          <w:kern w:val="0"/>
          <w:lang w:val="en-US" w:eastAsia="zh-CN"/>
        </w:rPr>
        <w:t>苍溪</w:t>
      </w:r>
      <w:r>
        <w:rPr>
          <w:rFonts w:hint="eastAsia"/>
          <w:snapToGrid w:val="0"/>
          <w:color w:val="000000"/>
          <w:spacing w:val="6"/>
          <w:kern w:val="0"/>
        </w:rPr>
        <w:t>县交通运输局多措并举，全力做好农民工工资支付保障工作。</w:t>
      </w:r>
    </w:p>
    <w:p>
      <w:pPr>
        <w:pStyle w:val="3"/>
        <w:widowControl/>
        <w:kinsoku w:val="0"/>
        <w:autoSpaceDE w:val="0"/>
        <w:autoSpaceDN w:val="0"/>
        <w:adjustRightInd w:val="0"/>
        <w:snapToGrid w:val="0"/>
        <w:spacing w:before="207" w:line="343" w:lineRule="auto"/>
        <w:ind w:firstLine="670"/>
        <w:jc w:val="center"/>
        <w:textAlignment w:val="baseline"/>
        <w:rPr>
          <w:rFonts w:hint="eastAsia" w:eastAsia="仿宋"/>
          <w:snapToGrid w:val="0"/>
          <w:color w:val="000000"/>
          <w:spacing w:val="6"/>
          <w:kern w:val="0"/>
          <w:lang w:eastAsia="zh-CN"/>
        </w:rPr>
      </w:pPr>
      <w:r>
        <w:rPr>
          <w:rFonts w:hint="eastAsia"/>
          <w:b/>
          <w:bCs/>
          <w:snapToGrid w:val="0"/>
          <w:color w:val="000000"/>
          <w:spacing w:val="6"/>
          <w:kern w:val="0"/>
          <w:lang w:val="en-US" w:eastAsia="zh-CN"/>
        </w:rPr>
        <w:t>图为</w:t>
      </w:r>
      <w:r>
        <w:rPr>
          <w:rFonts w:hint="eastAsia"/>
          <w:b/>
          <w:bCs/>
          <w:snapToGrid w:val="0"/>
          <w:color w:val="000000"/>
          <w:spacing w:val="6"/>
          <w:kern w:val="0"/>
        </w:rPr>
        <w:t>开展督导检查</w:t>
      </w:r>
      <w:r>
        <w:rPr>
          <w:rFonts w:hint="eastAsia" w:eastAsia="仿宋"/>
          <w:snapToGrid w:val="0"/>
          <w:color w:val="000000"/>
          <w:spacing w:val="6"/>
          <w:kern w:val="0"/>
          <w:lang w:eastAsia="zh-CN"/>
        </w:rPr>
        <w:drawing>
          <wp:anchor distT="0" distB="0" distL="114300" distR="114300" simplePos="0" relativeHeight="251659264" behindDoc="0" locked="0" layoutInCell="1" allowOverlap="1">
            <wp:simplePos x="0" y="0"/>
            <wp:positionH relativeFrom="column">
              <wp:posOffset>425450</wp:posOffset>
            </wp:positionH>
            <wp:positionV relativeFrom="paragraph">
              <wp:posOffset>131445</wp:posOffset>
            </wp:positionV>
            <wp:extent cx="5264785" cy="3947160"/>
            <wp:effectExtent l="0" t="0" r="12065" b="15240"/>
            <wp:wrapTopAndBottom/>
            <wp:docPr id="1" name="图片 1" descr="联合检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联合检查2"/>
                    <pic:cNvPicPr>
                      <a:picLocks noChangeAspect="1"/>
                    </pic:cNvPicPr>
                  </pic:nvPicPr>
                  <pic:blipFill>
                    <a:blip r:embed="rId4"/>
                    <a:stretch>
                      <a:fillRect/>
                    </a:stretch>
                  </pic:blipFill>
                  <pic:spPr>
                    <a:xfrm>
                      <a:off x="0" y="0"/>
                      <a:ext cx="5264785" cy="3947160"/>
                    </a:xfrm>
                    <a:prstGeom prst="rect">
                      <a:avLst/>
                    </a:prstGeom>
                  </pic:spPr>
                </pic:pic>
              </a:graphicData>
            </a:graphic>
          </wp:anchor>
        </w:drawing>
      </w:r>
    </w:p>
    <w:p>
      <w:pPr>
        <w:pStyle w:val="3"/>
        <w:widowControl/>
        <w:kinsoku w:val="0"/>
        <w:autoSpaceDE w:val="0"/>
        <w:autoSpaceDN w:val="0"/>
        <w:adjustRightInd w:val="0"/>
        <w:snapToGrid w:val="0"/>
        <w:spacing w:before="207" w:line="343" w:lineRule="auto"/>
        <w:ind w:firstLine="670"/>
        <w:jc w:val="left"/>
        <w:textAlignment w:val="baseline"/>
        <w:rPr>
          <w:rFonts w:hint="eastAsia"/>
          <w:snapToGrid w:val="0"/>
          <w:color w:val="000000"/>
          <w:spacing w:val="6"/>
          <w:kern w:val="0"/>
        </w:rPr>
      </w:pPr>
      <w:r>
        <w:rPr>
          <w:rFonts w:hint="eastAsia"/>
          <w:snapToGrid w:val="0"/>
          <w:color w:val="000000"/>
          <w:spacing w:val="6"/>
          <w:kern w:val="0"/>
        </w:rPr>
        <w:t>畅通维权渠道，夯实工作责任。结合交通项目建设实际，建立健全组织领导机构，细化分解工作任务，实行“领导包项目、业务股室包监督、局属单位包管理”的农民工工资支付保障工作责任制，各司其责，齐心协力，互相配合，扎实开展农民工工</w:t>
      </w:r>
      <w:r>
        <w:rPr>
          <w:rFonts w:hint="eastAsia"/>
          <w:snapToGrid w:val="0"/>
          <w:color w:val="000000"/>
          <w:spacing w:val="6"/>
          <w:kern w:val="0"/>
          <w:lang w:eastAsia="zh-CN"/>
        </w:rPr>
        <w:t>资</w:t>
      </w:r>
      <w:r>
        <w:rPr>
          <w:rFonts w:hint="eastAsia"/>
          <w:snapToGrid w:val="0"/>
          <w:color w:val="000000"/>
          <w:spacing w:val="6"/>
          <w:kern w:val="0"/>
        </w:rPr>
        <w:t>支付工作。同时，建立农民工工资支付保障投诉渠道，及时处理农民工工资投诉，保障农民工工资及时得到支付兑现。全年，共办理工资投诉件200余件。</w:t>
      </w:r>
    </w:p>
    <w:p>
      <w:pPr>
        <w:pStyle w:val="3"/>
        <w:widowControl/>
        <w:kinsoku w:val="0"/>
        <w:autoSpaceDE w:val="0"/>
        <w:autoSpaceDN w:val="0"/>
        <w:adjustRightInd w:val="0"/>
        <w:snapToGrid w:val="0"/>
        <w:spacing w:before="207" w:line="343" w:lineRule="auto"/>
        <w:ind w:firstLine="670"/>
        <w:jc w:val="left"/>
        <w:textAlignment w:val="baseline"/>
        <w:rPr>
          <w:rFonts w:hint="eastAsia"/>
          <w:snapToGrid w:val="0"/>
          <w:color w:val="000000"/>
          <w:spacing w:val="6"/>
          <w:kern w:val="0"/>
        </w:rPr>
      </w:pPr>
      <w:r>
        <w:rPr>
          <w:rFonts w:hint="eastAsia"/>
          <w:snapToGrid w:val="0"/>
          <w:color w:val="000000"/>
          <w:spacing w:val="6"/>
          <w:kern w:val="0"/>
        </w:rPr>
        <w:t>加强监督检查，提前督促支付。定期、不定期联合县劳动监察大队到在建交通项目工地开展督导检查，查阅工资发放清单、银行支付凭证等资料，对发现存在欠薪问题和矛盾隐患的提前进行介入处理，查清拖欠工资原因、欠薪金额和涉及人数，准确掌握欠薪情况，并落实专人对工资兑现情况进行跟踪、督办、反馈。2023年，配合市人社局督导检查1次，联合县人社局、县劳动监察大队开展专项督导检查10余次，共排查欠薪涉及人员450余人，欠薪金额达500余万元。目前，</w:t>
      </w:r>
      <w:r>
        <w:rPr>
          <w:rFonts w:hint="eastAsia"/>
          <w:snapToGrid w:val="0"/>
          <w:color w:val="000000"/>
          <w:spacing w:val="6"/>
          <w:kern w:val="0"/>
          <w:lang w:val="en-US" w:eastAsia="zh-CN"/>
        </w:rPr>
        <w:t>苍溪</w:t>
      </w:r>
      <w:r>
        <w:rPr>
          <w:rFonts w:hint="eastAsia"/>
          <w:snapToGrid w:val="0"/>
          <w:color w:val="000000"/>
          <w:spacing w:val="6"/>
          <w:kern w:val="0"/>
        </w:rPr>
        <w:t>县交通运输局已制定化解方案，预计春节前全部发放完毕。</w:t>
      </w:r>
    </w:p>
    <w:p>
      <w:pPr>
        <w:pStyle w:val="3"/>
        <w:widowControl/>
        <w:kinsoku w:val="0"/>
        <w:autoSpaceDE w:val="0"/>
        <w:autoSpaceDN w:val="0"/>
        <w:adjustRightInd w:val="0"/>
        <w:snapToGrid w:val="0"/>
        <w:spacing w:before="207" w:line="343" w:lineRule="auto"/>
        <w:ind w:firstLine="670"/>
        <w:jc w:val="left"/>
        <w:textAlignment w:val="baseline"/>
        <w:rPr>
          <w:rFonts w:hint="eastAsia" w:eastAsia="仿宋"/>
          <w:snapToGrid w:val="0"/>
          <w:color w:val="000000"/>
          <w:spacing w:val="6"/>
          <w:kern w:val="0"/>
          <w:lang w:eastAsia="zh-CN"/>
        </w:rPr>
      </w:pPr>
      <w:r>
        <w:rPr>
          <w:rFonts w:hint="eastAsia"/>
          <w:snapToGrid w:val="0"/>
          <w:color w:val="000000"/>
          <w:spacing w:val="6"/>
          <w:kern w:val="0"/>
        </w:rPr>
        <w:t>强化台账管理，提升工作效率。认真开展农民工工资支付摸底排查工作，摸清工程建设项目使用农民工情况，要求施工单位按照农民工工资保障要求向银行专户存储足额的工资专项资金，分门别类</w:t>
      </w:r>
      <w:r>
        <w:rPr>
          <w:rFonts w:hint="eastAsia"/>
          <w:snapToGrid w:val="0"/>
          <w:color w:val="000000"/>
          <w:spacing w:val="6"/>
          <w:kern w:val="0"/>
          <w:lang w:eastAsia="zh-CN"/>
        </w:rPr>
        <w:t>地</w:t>
      </w:r>
      <w:r>
        <w:rPr>
          <w:rFonts w:hint="eastAsia"/>
          <w:snapToGrid w:val="0"/>
          <w:color w:val="000000"/>
          <w:spacing w:val="6"/>
          <w:kern w:val="0"/>
        </w:rPr>
        <w:t>建立工程施工企业、农民工人数名单、农民工工资花名册、签到记录等基本信息管理</w:t>
      </w:r>
      <w:r>
        <w:rPr>
          <w:rFonts w:hint="eastAsia"/>
          <w:snapToGrid w:val="0"/>
          <w:color w:val="000000"/>
          <w:spacing w:val="6"/>
          <w:kern w:val="0"/>
          <w:lang w:eastAsia="zh-CN"/>
        </w:rPr>
        <w:t>台账</w:t>
      </w:r>
      <w:r>
        <w:rPr>
          <w:rFonts w:hint="eastAsia"/>
          <w:snapToGrid w:val="0"/>
          <w:color w:val="000000"/>
          <w:spacing w:val="6"/>
          <w:kern w:val="0"/>
        </w:rPr>
        <w:t>，扎实细致做好摸底排查工作。目前，全县交通运输在建项目项目部共建农民工工资花名册、签到记录等系列台账10余本。（康灵</w:t>
      </w:r>
      <w:r>
        <w:rPr>
          <w:rFonts w:hint="eastAsia"/>
          <w:snapToGrid w:val="0"/>
          <w:color w:val="000000"/>
          <w:spacing w:val="6"/>
          <w:kern w:val="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627E6E3C"/>
    <w:rsid w:val="046D1DEF"/>
    <w:rsid w:val="0C187688"/>
    <w:rsid w:val="4D655A7A"/>
    <w:rsid w:val="627E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2024-01-16T01:25:00Z</dcterms:created>
  <dc:creator>WPS_1456542419</dc:creator>
  <cp:lastModifiedBy>暮晖</cp:lastModifiedBy>
  <dcterms:modified xsi:type="dcterms:W3CDTF">2024-01-16T07:00:58Z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A549F5CBEB8E47DBB4F56AB629356053_13</vt:lpwstr>
  </property>
</Properties>
</file>