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双流区市场监管局开展春节节前食品安全</w:t>
      </w: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“你点我检 </w:t>
      </w:r>
      <w:r>
        <w:rPr>
          <w:rFonts w:ascii="方正小标宋_GBK" w:hAnsi="方正小标宋_GBK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服务惠民生活动”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春节来临之际，为全力守护人民群众“舌尖上的安全”，从源头防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范</w:t>
      </w:r>
      <w:r>
        <w:rPr>
          <w:rFonts w:ascii="Times New Roman" w:hAnsi="Times New Roman" w:eastAsia="方正仿宋_GBK" w:cs="Times New Roman"/>
          <w:sz w:val="32"/>
          <w:szCs w:val="32"/>
        </w:rPr>
        <w:t>化解食品安全风险隐患，坚决守好“菜篮子”、护好“米袋子”，努力营造平安、稳定的节日氛围，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同时</w:t>
      </w:r>
      <w:r>
        <w:rPr>
          <w:rFonts w:ascii="Times New Roman" w:hAnsi="Times New Roman" w:eastAsia="方正仿宋_GBK" w:cs="Times New Roman"/>
          <w:sz w:val="32"/>
          <w:szCs w:val="32"/>
        </w:rPr>
        <w:t>进一步拓宽社会公众参与食品安全监督渠道，提升群众对食品安全的知晓率、参与度和满意度，充分发挥公众在食品监管中的参与和监督作用，1月18日，双流区市场监管局应急管理科联合食品流通科、西航港所在成都农产品中心批发市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组织</w:t>
      </w:r>
      <w:r>
        <w:rPr>
          <w:rFonts w:ascii="Times New Roman" w:hAnsi="Times New Roman" w:eastAsia="方正仿宋_GBK" w:cs="Times New Roman"/>
          <w:sz w:val="32"/>
          <w:szCs w:val="32"/>
        </w:rPr>
        <w:t>开展春节期间食品安全“你点我检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服务惠民生活动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drawing>
          <wp:inline distT="0" distB="0" distL="114300" distR="114300">
            <wp:extent cx="5257800" cy="3943350"/>
            <wp:effectExtent l="0" t="0" r="0" b="0"/>
            <wp:docPr id="1" name="图片 1" descr="02e9f55ae4838ffffa30f24798b5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e9f55ae4838ffffa30f24798b5e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工作人员</w:t>
      </w:r>
      <w:r>
        <w:rPr>
          <w:rFonts w:ascii="Times New Roman" w:hAnsi="Times New Roman" w:eastAsia="方正仿宋_GBK" w:cs="Times New Roman"/>
          <w:sz w:val="32"/>
          <w:szCs w:val="32"/>
        </w:rPr>
        <w:t>通过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消费者现场点检、发放问卷调查等形式征集公众关注的重点项目，现场邀请消费者参与,由第三方抽检机构对市场内的草莓、鸡蛋、猪肉、小白菜等多种食用农产品开展监督抽样，同时对消费者购买的蓝莓、砂糖橘等现场开展快检。</w:t>
      </w:r>
      <w:r>
        <w:rPr>
          <w:rFonts w:ascii="Times New Roman" w:hAnsi="Times New Roman" w:eastAsia="方正仿宋_GBK" w:cs="Times New Roman"/>
          <w:sz w:val="32"/>
          <w:szCs w:val="32"/>
        </w:rPr>
        <w:t>本次活动共进行快检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34</w:t>
      </w:r>
      <w:r>
        <w:rPr>
          <w:rFonts w:ascii="Times New Roman" w:hAnsi="Times New Roman" w:eastAsia="方正仿宋_GBK" w:cs="Times New Roman"/>
          <w:sz w:val="32"/>
          <w:szCs w:val="32"/>
        </w:rPr>
        <w:t>批次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，快检结果均合格，已通过短信方式告知消费者；开展</w:t>
      </w:r>
      <w:r>
        <w:rPr>
          <w:rFonts w:ascii="Times New Roman" w:hAnsi="Times New Roman" w:eastAsia="方正仿宋_GBK" w:cs="Times New Roman"/>
          <w:sz w:val="32"/>
          <w:szCs w:val="32"/>
        </w:rPr>
        <w:t>“你点我检”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专项监督抽检10</w:t>
      </w:r>
      <w:r>
        <w:rPr>
          <w:rFonts w:ascii="Times New Roman" w:hAnsi="Times New Roman" w:eastAsia="方正仿宋_GBK" w:cs="Times New Roman"/>
          <w:sz w:val="32"/>
          <w:szCs w:val="32"/>
        </w:rPr>
        <w:t>批次，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监测结果出具后将及时向社会公示，并通过短信、电话等方式告知消费者。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drawing>
          <wp:inline distT="0" distB="0" distL="114300" distR="114300">
            <wp:extent cx="5257800" cy="3943350"/>
            <wp:effectExtent l="0" t="0" r="0" b="0"/>
            <wp:docPr id="2" name="图片 2" descr="e859ad21894029d80e9580c7a594d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859ad21894029d80e9580c7a594dd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活动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期间，双流区市场监管局</w:t>
      </w:r>
      <w:r>
        <w:rPr>
          <w:rFonts w:ascii="Times New Roman" w:hAnsi="Times New Roman" w:eastAsia="方正仿宋_GBK" w:cs="Times New Roman"/>
          <w:sz w:val="32"/>
          <w:szCs w:val="32"/>
        </w:rPr>
        <w:t>还设立现场食品安全咨询服务台，通过悬挂标语横幅、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摆放食品安全科普宣传展板、</w:t>
      </w:r>
      <w:r>
        <w:rPr>
          <w:rFonts w:ascii="Times New Roman" w:hAnsi="Times New Roman" w:eastAsia="方正仿宋_GBK" w:cs="Times New Roman"/>
          <w:sz w:val="32"/>
          <w:szCs w:val="32"/>
        </w:rPr>
        <w:t>发放食品安全宣传资料等多种形式向现场群众普及食品安全知识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，发放宣传资料320余份。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drawing>
          <wp:inline distT="0" distB="0" distL="114300" distR="114300">
            <wp:extent cx="5241290" cy="3930650"/>
            <wp:effectExtent l="0" t="0" r="16510" b="12700"/>
            <wp:docPr id="3" name="图片 3" descr="44aa2b5a9b0da16727f7c6cb7e98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4aa2b5a9b0da16727f7c6cb7e98e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此外，为做好春节节前保障工作，双流区市场监管局还</w:t>
      </w:r>
      <w:r>
        <w:rPr>
          <w:rFonts w:ascii="Times New Roman" w:hAnsi="Times New Roman" w:eastAsia="方正仿宋_GBK" w:cs="Times New Roman"/>
          <w:sz w:val="32"/>
          <w:szCs w:val="32"/>
        </w:rPr>
        <w:t>对米面油、白酒、肉及肉制品等大宗食品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开展春节节前专项</w:t>
      </w:r>
      <w:r>
        <w:rPr>
          <w:rFonts w:ascii="Times New Roman" w:hAnsi="Times New Roman" w:eastAsia="方正仿宋_GBK" w:cs="Times New Roman"/>
          <w:sz w:val="32"/>
          <w:szCs w:val="32"/>
        </w:rPr>
        <w:t>监督抽检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90批次，结果待出。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drawing>
          <wp:inline distT="0" distB="0" distL="114300" distR="114300">
            <wp:extent cx="5241290" cy="3930650"/>
            <wp:effectExtent l="0" t="0" r="16510" b="12700"/>
            <wp:docPr id="4" name="图片 4" descr="8af5385ea5b63c1c5a96a0c6e4a18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af5385ea5b63c1c5a96a0c6e4a18a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下一步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双流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</w:t>
      </w:r>
      <w:r>
        <w:rPr>
          <w:rFonts w:ascii="Times New Roman" w:hAnsi="Times New Roman" w:eastAsia="方正仿宋_GBK" w:cs="Times New Roman"/>
          <w:sz w:val="32"/>
          <w:szCs w:val="32"/>
        </w:rPr>
        <w:t>市场监管局将加大食品安全宣传和监督力度，</w:t>
      </w:r>
      <w:r>
        <w:rPr>
          <w:rFonts w:hint="eastAsia" w:eastAsia="方正仿宋_GBK"/>
          <w:sz w:val="32"/>
          <w:szCs w:val="32"/>
        </w:rPr>
        <w:t>聚焦群众关切问题，聚焦“一老一小”等重点人群，突出对农村、校园周边、城乡结合部等重点区域食品安全监督抽检工作，</w:t>
      </w:r>
      <w:r>
        <w:rPr>
          <w:rFonts w:ascii="Times New Roman" w:hAnsi="Times New Roman" w:eastAsia="方正仿宋_GBK" w:cs="Times New Roman"/>
          <w:sz w:val="32"/>
          <w:szCs w:val="32"/>
        </w:rPr>
        <w:t>守牢食品安全底线，持续提高食品安全保障水平，提升人民群众对成都美食的安全感、获得感和幸福感。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温馨提示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如果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您</w:t>
      </w:r>
      <w:r>
        <w:rPr>
          <w:rFonts w:ascii="Times New Roman" w:hAnsi="Times New Roman" w:eastAsia="方正仿宋_GBK" w:cs="Times New Roman"/>
          <w:sz w:val="32"/>
          <w:szCs w:val="32"/>
        </w:rPr>
        <w:t>在生活中遇到食品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药品等</w:t>
      </w:r>
      <w:r>
        <w:rPr>
          <w:rFonts w:ascii="Times New Roman" w:hAnsi="Times New Roman" w:eastAsia="方正仿宋_GBK" w:cs="Times New Roman"/>
          <w:sz w:val="32"/>
          <w:szCs w:val="32"/>
        </w:rPr>
        <w:t>相关问题，请及时拨打12315进行投诉举报。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MDIwNjZlNDI3ZjQ3YWQyOWJhMjA3NzYyZWQ4YjgifQ=="/>
  </w:docVars>
  <w:rsids>
    <w:rsidRoot w:val="00DB0DE5"/>
    <w:rsid w:val="00290D76"/>
    <w:rsid w:val="00335772"/>
    <w:rsid w:val="00AC313C"/>
    <w:rsid w:val="00C82412"/>
    <w:rsid w:val="00CE5BAF"/>
    <w:rsid w:val="00DB0DE5"/>
    <w:rsid w:val="156259ED"/>
    <w:rsid w:val="22823F16"/>
    <w:rsid w:val="30872B68"/>
    <w:rsid w:val="318D6D16"/>
    <w:rsid w:val="424552C6"/>
    <w:rsid w:val="4E6B0F83"/>
    <w:rsid w:val="4FCF0025"/>
    <w:rsid w:val="541E0671"/>
    <w:rsid w:val="62E66543"/>
    <w:rsid w:val="663809B3"/>
    <w:rsid w:val="762D1748"/>
    <w:rsid w:val="7AF67201"/>
    <w:rsid w:val="7ECB1D8F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spacing w:line="720" w:lineRule="exact"/>
      <w:jc w:val="center"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658</Characters>
  <Lines>5</Lines>
  <Paragraphs>1</Paragraphs>
  <TotalTime>8</TotalTime>
  <ScaleCrop>false</ScaleCrop>
  <LinksUpToDate>false</LinksUpToDate>
  <CharactersWithSpaces>772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2024-01-18T06:02:00Z</dcterms:created>
  <dc:creator>asd</dc:creator>
  <cp:lastModifiedBy>暮晖</cp:lastModifiedBy>
  <dcterms:modified xsi:type="dcterms:W3CDTF">2024-01-18T10:45:36Z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855757674_embed</vt:lpwstr>
  </property>
  <property fmtid="{D5CDD505-2E9C-101B-9397-08002B2CF9AE}" pid="4" name="ICV">
    <vt:lpwstr>D314D811B473439B8C2FFC4B9624ADB4_13</vt:lpwstr>
  </property>
</Properties>
</file>