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eastAsia="宋体" w:cs="Times New Roman"/>
          <w:b/>
          <w:bCs/>
          <w:color w:val="auto"/>
        </w:rPr>
      </w:pPr>
    </w:p>
    <w:p>
      <w:pPr>
        <w:pStyle w:val="13"/>
        <w:spacing w:line="360" w:lineRule="auto"/>
        <w:ind w:left="420" w:leftChars="200" w:right="420" w:rightChars="200"/>
        <w:jc w:val="center"/>
        <w:rPr>
          <w:rFonts w:eastAsia="PMingLiU"/>
          <w:color w:val="auto"/>
          <w:kern w:val="0"/>
          <w:sz w:val="24"/>
          <w:szCs w:val="24"/>
          <w:lang w:val="en-GB" w:eastAsia="zh-TW"/>
        </w:rPr>
      </w:pPr>
      <w:r>
        <w:rPr>
          <w:rFonts w:eastAsia="宋体"/>
          <w:b/>
          <w:bCs/>
          <w:color w:val="auto"/>
          <w:kern w:val="0"/>
          <w:sz w:val="24"/>
          <w:szCs w:val="24"/>
          <w:lang w:val="zh-TW" w:eastAsia="zh-TW"/>
        </w:rPr>
        <w:t>成都太古里</w:t>
      </w:r>
      <w:bookmarkStart w:id="0" w:name="_Hlk146123998"/>
      <w:r>
        <w:rPr>
          <w:rFonts w:hint="eastAsia" w:eastAsia="宋体"/>
          <w:b/>
          <w:bCs/>
          <w:color w:val="auto"/>
          <w:kern w:val="0"/>
          <w:sz w:val="24"/>
          <w:szCs w:val="24"/>
          <w:lang w:val="zh-TW" w:eastAsia="zh-TW"/>
        </w:rPr>
        <w:t>新春</w:t>
      </w:r>
      <w:r>
        <w:rPr>
          <w:rFonts w:eastAsia="宋体"/>
          <w:b/>
          <w:bCs/>
          <w:color w:val="auto"/>
          <w:kern w:val="0"/>
          <w:sz w:val="24"/>
          <w:szCs w:val="24"/>
          <w:lang w:val="zh-TW" w:eastAsia="zh-TW"/>
        </w:rPr>
        <w:t>主题活动</w:t>
      </w:r>
      <w:bookmarkEnd w:id="0"/>
      <w:r>
        <w:rPr>
          <w:rFonts w:hint="eastAsia" w:eastAsia="宋体"/>
          <w:b/>
          <w:bCs/>
          <w:color w:val="auto"/>
          <w:kern w:val="0"/>
          <w:sz w:val="24"/>
          <w:szCs w:val="24"/>
          <w:lang w:val="zh-TW" w:eastAsia="zh-TW"/>
        </w:rPr>
        <w:t>“鲤跃龙腾 LEGENDS</w:t>
      </w:r>
      <w:r>
        <w:rPr>
          <w:rFonts w:eastAsia="宋体"/>
          <w:b/>
          <w:bCs/>
          <w:color w:val="auto"/>
          <w:kern w:val="0"/>
          <w:sz w:val="24"/>
          <w:szCs w:val="24"/>
          <w:lang w:val="zh-TW" w:eastAsia="zh-TW"/>
        </w:rPr>
        <w:t xml:space="preserve"> OF THE YEAR</w:t>
      </w:r>
      <w:r>
        <w:rPr>
          <w:rFonts w:hint="eastAsia" w:eastAsia="宋体"/>
          <w:b/>
          <w:bCs/>
          <w:color w:val="auto"/>
          <w:kern w:val="0"/>
          <w:sz w:val="24"/>
          <w:szCs w:val="24"/>
          <w:lang w:val="zh-TW" w:eastAsia="zh-TW"/>
        </w:rPr>
        <w:t>”</w:t>
      </w:r>
      <w:r>
        <w:rPr>
          <w:rFonts w:eastAsia="宋体"/>
          <w:b/>
          <w:bCs/>
          <w:color w:val="auto"/>
          <w:kern w:val="0"/>
          <w:sz w:val="24"/>
          <w:szCs w:val="24"/>
          <w:lang w:val="zh-TW" w:eastAsia="zh-TW"/>
        </w:rPr>
        <w:t>正式开启</w:t>
      </w:r>
    </w:p>
    <w:p>
      <w:pPr>
        <w:spacing w:before="240" w:line="360" w:lineRule="auto"/>
        <w:ind w:firstLine="480" w:firstLineChars="200"/>
        <w:rPr>
          <w:rFonts w:ascii="Calibri" w:hAnsi="Calibri" w:eastAsia="PMingLiU" w:cs="Calibri"/>
          <w:color w:val="auto"/>
          <w:kern w:val="0"/>
          <w:sz w:val="24"/>
          <w:szCs w:val="24"/>
          <w:lang w:val="en-GB" w:eastAsia="zh-TW"/>
        </w:rPr>
      </w:pPr>
      <w:r>
        <w:rPr>
          <w:rFonts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2024年1月25日，成都太古里新春主题活动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/>
        </w:rPr>
        <w:t>“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鲤跃龙腾 LEGENDS</w:t>
      </w:r>
      <w:r>
        <w:rPr>
          <w:rFonts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 xml:space="preserve"> OF THE YEAR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/>
        </w:rPr>
        <w:t>”</w:t>
      </w:r>
      <w:r>
        <w:rPr>
          <w:rFonts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正式开启。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/>
        </w:rPr>
        <w:t>以传统手工艺打造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的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/>
        </w:rPr>
        <w:t>龙年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主题公共艺术装置于漫广场跃然浮现。律回春渐，新元</w:t>
      </w:r>
      <w:r>
        <w:rPr>
          <w:rFonts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肇启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；祥云漫天，鲤鱼跃出</w:t>
      </w:r>
      <w:bookmarkStart w:id="1" w:name="_GoBack"/>
      <w:bookmarkEnd w:id="1"/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；在一片水天交融的繁华景致中，潜龙出水，耀现绮丽光芒。成都太古里邀您在新春佳节之际，与亲友共赏磅礴景象，蓄势启航，迎接充满无限可能的龙年。</w:t>
      </w:r>
    </w:p>
    <w:p>
      <w:pPr>
        <w:spacing w:before="240" w:line="360" w:lineRule="auto"/>
        <w:jc w:val="center"/>
        <w:rPr>
          <w:rFonts w:hint="eastAsia" w:ascii="Calibri" w:hAnsi="Calibri" w:eastAsia="PMingLiU" w:cs="Calibri"/>
          <w:color w:val="auto"/>
          <w:kern w:val="0"/>
          <w:sz w:val="24"/>
          <w:szCs w:val="24"/>
          <w:lang w:val="en-GB" w:eastAsia="zh-TW"/>
        </w:rPr>
      </w:pPr>
      <w:r>
        <w:drawing>
          <wp:inline distT="0" distB="0" distL="0" distR="0">
            <wp:extent cx="3959860" cy="2639695"/>
            <wp:effectExtent l="0" t="0" r="2540" b="8255"/>
            <wp:docPr id="1672974791" name="图片 5" descr="图片包含 桌子, 食物, 男人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74791" name="图片 5" descr="图片包含 桌子, 食物, 男人, 大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360" w:lineRule="auto"/>
        <w:ind w:firstLine="480" w:firstLineChars="200"/>
        <w:rPr>
          <w:rFonts w:ascii="Calibri" w:hAnsi="Calibri" w:eastAsia="宋体" w:cs="Calibri"/>
          <w:color w:val="auto"/>
          <w:kern w:val="0"/>
          <w:sz w:val="24"/>
          <w:szCs w:val="24"/>
          <w:lang w:val="en-GB"/>
        </w:rPr>
      </w:pP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鲤跃龙腾，风生水起。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/>
        </w:rPr>
        <w:t>喜迎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甲辰龙年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/>
        </w:rPr>
        <w:t>，成都太古里的新春艺术装置以龙为主角，结合“鲤鱼跃”“鲜花盛”“云飞扬”“池水潺潺”等中国文化中的美好意境，营造出纯正、喜庆的新年氛围。本次艺术装置由纯手工技艺打造，以传统纸艺生动呈现了“中国龙”，致敬中国传统文化。夜幕临，华灯起，巨龙与锦鲤仿若在漫广场游弋，公众步入水上，穿梭其中，赏祥瑞繁华的视觉盛宴。</w:t>
      </w:r>
    </w:p>
    <w:p>
      <w:pPr>
        <w:spacing w:before="240" w:line="360" w:lineRule="auto"/>
        <w:ind w:firstLine="420" w:firstLineChars="200"/>
        <w:jc w:val="center"/>
        <w:rPr>
          <w:rFonts w:ascii="Calibri" w:hAnsi="Calibri" w:eastAsia="宋体" w:cs="Calibri"/>
          <w:color w:val="auto"/>
          <w:kern w:val="0"/>
          <w:sz w:val="24"/>
          <w:szCs w:val="24"/>
          <w:lang w:val="en-GB"/>
        </w:rPr>
      </w:pPr>
      <w:r>
        <w:drawing>
          <wp:inline distT="0" distB="0" distL="0" distR="0">
            <wp:extent cx="3959860" cy="2641600"/>
            <wp:effectExtent l="0" t="0" r="2540" b="6350"/>
            <wp:docPr id="2138280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8052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360" w:lineRule="auto"/>
        <w:ind w:firstLine="420" w:firstLineChars="200"/>
        <w:jc w:val="center"/>
        <w:rPr>
          <w:rFonts w:ascii="Calibri" w:hAnsi="Calibri" w:eastAsia="宋体" w:cs="Calibri"/>
          <w:color w:val="auto"/>
          <w:kern w:val="0"/>
          <w:sz w:val="24"/>
          <w:szCs w:val="24"/>
          <w:lang w:val="en-GB"/>
        </w:rPr>
      </w:pPr>
      <w:r>
        <w:drawing>
          <wp:inline distT="0" distB="0" distL="0" distR="0">
            <wp:extent cx="3959860" cy="2639060"/>
            <wp:effectExtent l="0" t="0" r="2540" b="8890"/>
            <wp:docPr id="160353127" name="图片 6" descr="图片包含 建筑, 动物, 户外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3127" name="图片 6" descr="图片包含 建筑, 动物, 户外, 大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line="360" w:lineRule="auto"/>
        <w:ind w:firstLine="480" w:firstLineChars="200"/>
        <w:rPr>
          <w:rFonts w:ascii="Calibri" w:hAnsi="Calibri" w:eastAsia="PMingLiU" w:cs="Calibri"/>
          <w:color w:val="auto"/>
          <w:kern w:val="0"/>
          <w:sz w:val="24"/>
          <w:szCs w:val="24"/>
          <w:lang w:val="en-GB" w:eastAsia="zh-TW"/>
        </w:rPr>
      </w:pP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/>
        </w:rPr>
        <w:t>水天一片，万物和谐共生。值此龙年春节之际，成都太古里以鲤跃龙腾之姿传达蓄势待发，充满生机与活力的美好愿景，更为城市具象化演绎万物共生、和谐美好的画面。诚邀市民和八方来客相聚城市中心，在“龙入花海”中记录温馨团圆的时刻，共度热闹中国年，祈福新岁，乐享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福满门庭。</w:t>
      </w:r>
    </w:p>
    <w:p>
      <w:pPr>
        <w:spacing w:before="240" w:line="360" w:lineRule="auto"/>
        <w:ind w:firstLine="420" w:firstLineChars="200"/>
        <w:jc w:val="center"/>
        <w:rPr>
          <w:rFonts w:ascii="Calibri" w:hAnsi="Calibri" w:cs="Calibri" w:eastAsiaTheme="minorEastAsia"/>
          <w:color w:val="auto"/>
          <w:kern w:val="0"/>
          <w:sz w:val="24"/>
          <w:szCs w:val="24"/>
          <w:lang w:val="en-GB"/>
        </w:rPr>
      </w:pPr>
      <w:r>
        <w:drawing>
          <wp:inline distT="0" distB="0" distL="0" distR="0">
            <wp:extent cx="3599815" cy="2400935"/>
            <wp:effectExtent l="0" t="0" r="635" b="0"/>
            <wp:docPr id="989754370" name="图片 2" descr="图片包含 桌子, 食物, 蛋糕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54370" name="图片 2" descr="图片包含 桌子, 食物, 蛋糕, 大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 w:line="360" w:lineRule="auto"/>
        <w:ind w:firstLine="480" w:firstLineChars="200"/>
        <w:rPr>
          <w:rFonts w:ascii="Calibri" w:hAnsi="Calibri" w:eastAsia="PMingLiU" w:cs="Calibri"/>
          <w:color w:val="auto"/>
          <w:kern w:val="0"/>
          <w:sz w:val="24"/>
          <w:szCs w:val="24"/>
          <w:lang w:val="en-GB" w:eastAsia="zh-TW"/>
        </w:rPr>
      </w:pP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/>
        </w:rPr>
        <w:t>此次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新春</w:t>
      </w:r>
      <w:r>
        <w:rPr>
          <w:rFonts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主题活动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“鲤跃龙腾 LEGENDS</w:t>
      </w:r>
      <w:r>
        <w:rPr>
          <w:rFonts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 xml:space="preserve"> OF THE YEAR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”</w:t>
      </w:r>
      <w:r>
        <w:rPr>
          <w:rFonts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将持续至2024年2月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2</w:t>
      </w:r>
      <w:r>
        <w:rPr>
          <w:rFonts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4日。期间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成都太古里全场超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/>
        </w:rPr>
        <w:t>1</w:t>
      </w:r>
      <w:r>
        <w:rPr>
          <w:rFonts w:ascii="Calibri" w:hAnsi="Calibri" w:eastAsia="宋体" w:cs="Calibri"/>
          <w:color w:val="auto"/>
          <w:kern w:val="0"/>
          <w:sz w:val="24"/>
          <w:szCs w:val="24"/>
          <w:lang w:val="en-GB"/>
        </w:rPr>
        <w:t>10</w:t>
      </w:r>
      <w:r>
        <w:rPr>
          <w:rFonts w:hint="eastAsia"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家品牌带来龙年特选、新春福利等一系列精彩纷呈的活动，其中近</w:t>
      </w:r>
      <w:r>
        <w:rPr>
          <w:rFonts w:ascii="Calibri" w:hAnsi="Calibri" w:eastAsia="宋体" w:cs="Calibri"/>
          <w:color w:val="auto"/>
          <w:kern w:val="0"/>
          <w:sz w:val="24"/>
          <w:szCs w:val="24"/>
          <w:lang w:val="en-GB" w:eastAsia="zh-TW"/>
        </w:rPr>
        <w:t>20家餐饮品牌奉上新春菜肴，团圆年夜饭更是饕餮好滋味。同时，新春佳节之际，品牌日当天于指定店铺消费体验，优悦里会员亦可双倍积分，尽享龙年福利。</w:t>
      </w:r>
    </w:p>
    <w:p>
      <w:pPr>
        <w:spacing w:before="312" w:after="312" w:line="360" w:lineRule="auto"/>
        <w:ind w:firstLine="420" w:firstLineChars="200"/>
        <w:jc w:val="center"/>
        <w:rPr>
          <w:rFonts w:hint="eastAsia" w:ascii="Calibri" w:hAnsi="Calibri" w:eastAsia="PMingLiU" w:cs="Calibri"/>
          <w:color w:val="auto"/>
          <w:kern w:val="0"/>
          <w:sz w:val="24"/>
          <w:szCs w:val="24"/>
          <w:lang w:val="en-GB" w:eastAsia="zh-TW"/>
        </w:rPr>
      </w:pPr>
      <w:r>
        <w:drawing>
          <wp:inline distT="0" distB="0" distL="0" distR="0">
            <wp:extent cx="3959860" cy="2639695"/>
            <wp:effectExtent l="0" t="0" r="2540" b="8255"/>
            <wp:docPr id="1887138818" name="图片 7" descr="图片包含 建筑, 大, 前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38818" name="图片 7" descr="图片包含 建筑, 大, 前, 桌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GB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PMingLiU">
    <w:altName w:val="QIJIFALLBACK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QIJIFALLBACK">
    <w:panose1 w:val="02000509000000000000"/>
    <w:charset w:val="88"/>
    <w:family w:val="auto"/>
    <w:pitch w:val="default"/>
    <w:sig w:usb0="00000000" w:usb1="08000000" w:usb2="0000000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VmODQ4MjRiZTJiOGZlYzE1NTRjYzc4Nzg0NzQyZWYifQ=="/>
  </w:docVars>
  <w:rsids>
    <w:rsidRoot w:val="0033653A"/>
    <w:rsid w:val="00005CBB"/>
    <w:rsid w:val="00007DFE"/>
    <w:rsid w:val="00013DE6"/>
    <w:rsid w:val="00030327"/>
    <w:rsid w:val="0005150C"/>
    <w:rsid w:val="000521A3"/>
    <w:rsid w:val="00052CBE"/>
    <w:rsid w:val="000545DB"/>
    <w:rsid w:val="00057293"/>
    <w:rsid w:val="00064634"/>
    <w:rsid w:val="00064DAC"/>
    <w:rsid w:val="00074BB2"/>
    <w:rsid w:val="000C58F8"/>
    <w:rsid w:val="001339E1"/>
    <w:rsid w:val="00145F38"/>
    <w:rsid w:val="001564F5"/>
    <w:rsid w:val="00177532"/>
    <w:rsid w:val="001A2BD3"/>
    <w:rsid w:val="001A5EAE"/>
    <w:rsid w:val="001E23F9"/>
    <w:rsid w:val="001E77F2"/>
    <w:rsid w:val="001F4FFE"/>
    <w:rsid w:val="002225C5"/>
    <w:rsid w:val="0022674E"/>
    <w:rsid w:val="00227619"/>
    <w:rsid w:val="00250A9D"/>
    <w:rsid w:val="002D2481"/>
    <w:rsid w:val="00301E5C"/>
    <w:rsid w:val="0030439B"/>
    <w:rsid w:val="0033653A"/>
    <w:rsid w:val="00387DD0"/>
    <w:rsid w:val="003A1430"/>
    <w:rsid w:val="003B721A"/>
    <w:rsid w:val="003D3A58"/>
    <w:rsid w:val="003E1DF6"/>
    <w:rsid w:val="003E2448"/>
    <w:rsid w:val="004077A1"/>
    <w:rsid w:val="0041312F"/>
    <w:rsid w:val="004375FF"/>
    <w:rsid w:val="00491016"/>
    <w:rsid w:val="004E7A1B"/>
    <w:rsid w:val="004F1715"/>
    <w:rsid w:val="005071C5"/>
    <w:rsid w:val="00507473"/>
    <w:rsid w:val="00514A28"/>
    <w:rsid w:val="005333B6"/>
    <w:rsid w:val="00584826"/>
    <w:rsid w:val="005925C0"/>
    <w:rsid w:val="005A4B7A"/>
    <w:rsid w:val="005B5478"/>
    <w:rsid w:val="005D628A"/>
    <w:rsid w:val="006122A9"/>
    <w:rsid w:val="00673528"/>
    <w:rsid w:val="00687BB0"/>
    <w:rsid w:val="006B0AA0"/>
    <w:rsid w:val="006C5DAF"/>
    <w:rsid w:val="006D62E3"/>
    <w:rsid w:val="006E610C"/>
    <w:rsid w:val="00723CB8"/>
    <w:rsid w:val="00732529"/>
    <w:rsid w:val="00734372"/>
    <w:rsid w:val="00757175"/>
    <w:rsid w:val="00761700"/>
    <w:rsid w:val="00777E56"/>
    <w:rsid w:val="00786927"/>
    <w:rsid w:val="007A5FF3"/>
    <w:rsid w:val="007B386D"/>
    <w:rsid w:val="007C53EE"/>
    <w:rsid w:val="007E2E44"/>
    <w:rsid w:val="00807714"/>
    <w:rsid w:val="008147E2"/>
    <w:rsid w:val="00816CF6"/>
    <w:rsid w:val="00826CBE"/>
    <w:rsid w:val="00833ED1"/>
    <w:rsid w:val="00836195"/>
    <w:rsid w:val="00845547"/>
    <w:rsid w:val="008607E6"/>
    <w:rsid w:val="00896CB3"/>
    <w:rsid w:val="00897D19"/>
    <w:rsid w:val="008B30A8"/>
    <w:rsid w:val="008B5008"/>
    <w:rsid w:val="008C3D91"/>
    <w:rsid w:val="008E1AED"/>
    <w:rsid w:val="008F0537"/>
    <w:rsid w:val="00922B29"/>
    <w:rsid w:val="009277EC"/>
    <w:rsid w:val="009309F2"/>
    <w:rsid w:val="00980342"/>
    <w:rsid w:val="009B41D8"/>
    <w:rsid w:val="009B5268"/>
    <w:rsid w:val="009B63FF"/>
    <w:rsid w:val="009C6116"/>
    <w:rsid w:val="009F035C"/>
    <w:rsid w:val="00A361F2"/>
    <w:rsid w:val="00A701C9"/>
    <w:rsid w:val="00A751FB"/>
    <w:rsid w:val="00A754EC"/>
    <w:rsid w:val="00A8561E"/>
    <w:rsid w:val="00A967CE"/>
    <w:rsid w:val="00A968E1"/>
    <w:rsid w:val="00AD4DCD"/>
    <w:rsid w:val="00AD7498"/>
    <w:rsid w:val="00AE545D"/>
    <w:rsid w:val="00AF708B"/>
    <w:rsid w:val="00B0221F"/>
    <w:rsid w:val="00B1649E"/>
    <w:rsid w:val="00B32285"/>
    <w:rsid w:val="00B43F3E"/>
    <w:rsid w:val="00B52B07"/>
    <w:rsid w:val="00B54945"/>
    <w:rsid w:val="00B65654"/>
    <w:rsid w:val="00B75240"/>
    <w:rsid w:val="00BC1614"/>
    <w:rsid w:val="00BC69AE"/>
    <w:rsid w:val="00BD7944"/>
    <w:rsid w:val="00C006BA"/>
    <w:rsid w:val="00C22AA5"/>
    <w:rsid w:val="00C573E7"/>
    <w:rsid w:val="00C917AF"/>
    <w:rsid w:val="00C95757"/>
    <w:rsid w:val="00CB353E"/>
    <w:rsid w:val="00CC7B09"/>
    <w:rsid w:val="00CE38AA"/>
    <w:rsid w:val="00D27A58"/>
    <w:rsid w:val="00D47AA3"/>
    <w:rsid w:val="00D85CCD"/>
    <w:rsid w:val="00D967E1"/>
    <w:rsid w:val="00DA1ABF"/>
    <w:rsid w:val="00DC54FB"/>
    <w:rsid w:val="00DD194E"/>
    <w:rsid w:val="00E00285"/>
    <w:rsid w:val="00E23932"/>
    <w:rsid w:val="00E36C11"/>
    <w:rsid w:val="00E36FC0"/>
    <w:rsid w:val="00E55C88"/>
    <w:rsid w:val="00E70830"/>
    <w:rsid w:val="00EA0CE6"/>
    <w:rsid w:val="00EB55F6"/>
    <w:rsid w:val="00F156B9"/>
    <w:rsid w:val="00F1743A"/>
    <w:rsid w:val="00F20FCD"/>
    <w:rsid w:val="00F23805"/>
    <w:rsid w:val="00F240E0"/>
    <w:rsid w:val="00F45CED"/>
    <w:rsid w:val="00F53536"/>
    <w:rsid w:val="00F6322A"/>
    <w:rsid w:val="00F73019"/>
    <w:rsid w:val="00FB27E0"/>
    <w:rsid w:val="00FB3BB9"/>
    <w:rsid w:val="00FD69C7"/>
    <w:rsid w:val="00FE2851"/>
    <w:rsid w:val="0A9E4C01"/>
    <w:rsid w:val="417E50EC"/>
    <w:rsid w:val="679E6DFD"/>
    <w:rsid w:val="7493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等线" w:hAnsi="等线" w:eastAsia="等线" w:cs="等线"/>
      <w:color w:val="000000"/>
      <w:kern w:val="2"/>
      <w:sz w:val="21"/>
      <w:szCs w:val="21"/>
      <w:u w:color="000000"/>
      <w:lang w:val="en-US" w:eastAsia="zh-CN" w:bidi="ar-SA"/>
    </w:rPr>
  </w:style>
  <w:style w:type="paragraph" w:styleId="2">
    <w:name w:val="heading 1"/>
    <w:basedOn w:val="1"/>
    <w:link w:val="17"/>
    <w:qFormat/>
    <w:uiPriority w:val="9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color w:val="auto"/>
      <w:kern w:val="36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unhideWhenUsed/>
    <w:uiPriority w:val="99"/>
    <w:pPr>
      <w:jc w:val="left"/>
    </w:pPr>
  </w:style>
  <w:style w:type="paragraph" w:styleId="4">
    <w:name w:val="Balloon Text"/>
    <w:basedOn w:val="1"/>
    <w:link w:val="20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9"/>
    <w:autoRedefine/>
    <w:semiHidden/>
    <w:unhideWhenUsed/>
    <w:qFormat/>
    <w:uiPriority w:val="99"/>
    <w:rPr>
      <w:b/>
      <w:bCs/>
    </w:rPr>
  </w:style>
  <w:style w:type="character" w:styleId="10">
    <w:name w:val="FollowedHyperlink"/>
    <w:basedOn w:val="9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9"/>
    <w:autoRedefine/>
    <w:semiHidden/>
    <w:unhideWhenUsed/>
    <w:qFormat/>
    <w:uiPriority w:val="99"/>
    <w:rPr>
      <w:sz w:val="21"/>
      <w:szCs w:val="21"/>
    </w:rPr>
  </w:style>
  <w:style w:type="paragraph" w:customStyle="1" w:styleId="13">
    <w:name w:val="无间隔1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4">
    <w:name w:val="页眉 字符"/>
    <w:basedOn w:val="9"/>
    <w:link w:val="6"/>
    <w:autoRedefine/>
    <w:qFormat/>
    <w:uiPriority w:val="99"/>
    <w:rPr>
      <w:rFonts w:ascii="等线" w:hAnsi="等线" w:eastAsia="等线" w:cs="等线"/>
      <w:color w:val="000000"/>
      <w:sz w:val="18"/>
      <w:szCs w:val="18"/>
      <w:u w:color="000000"/>
    </w:rPr>
  </w:style>
  <w:style w:type="paragraph" w:customStyle="1" w:styleId="15">
    <w:name w:val="Body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Calibri" w:hAnsi="Calibri" w:eastAsia="Arial Unicode MS" w:cs="Arial Unicode MS"/>
      <w:color w:val="000000"/>
      <w:kern w:val="0"/>
      <w:sz w:val="24"/>
      <w:szCs w:val="24"/>
      <w:u w:color="000000"/>
      <w:lang w:val="en-GB" w:eastAsia="zh-CN" w:bidi="ar-SA"/>
    </w:rPr>
  </w:style>
  <w:style w:type="character" w:customStyle="1" w:styleId="16">
    <w:name w:val="页脚 字符"/>
    <w:basedOn w:val="9"/>
    <w:link w:val="5"/>
    <w:autoRedefine/>
    <w:qFormat/>
    <w:uiPriority w:val="99"/>
    <w:rPr>
      <w:rFonts w:ascii="等线" w:hAnsi="等线" w:eastAsia="等线" w:cs="等线"/>
      <w:color w:val="000000"/>
      <w:sz w:val="18"/>
      <w:szCs w:val="18"/>
      <w:u w:color="000000"/>
    </w:rPr>
  </w:style>
  <w:style w:type="character" w:customStyle="1" w:styleId="17">
    <w:name w:val="标题 1 字符"/>
    <w:basedOn w:val="9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8">
    <w:name w:val="批注文字 字符"/>
    <w:basedOn w:val="9"/>
    <w:link w:val="3"/>
    <w:autoRedefine/>
    <w:qFormat/>
    <w:uiPriority w:val="99"/>
    <w:rPr>
      <w:rFonts w:ascii="等线" w:hAnsi="等线" w:eastAsia="等线" w:cs="等线"/>
      <w:color w:val="000000"/>
      <w:szCs w:val="21"/>
      <w:u w:color="000000"/>
    </w:rPr>
  </w:style>
  <w:style w:type="character" w:customStyle="1" w:styleId="19">
    <w:name w:val="批注主题 字符"/>
    <w:basedOn w:val="18"/>
    <w:link w:val="7"/>
    <w:autoRedefine/>
    <w:semiHidden/>
    <w:qFormat/>
    <w:uiPriority w:val="99"/>
    <w:rPr>
      <w:rFonts w:ascii="等线" w:hAnsi="等线" w:eastAsia="等线" w:cs="等线"/>
      <w:b/>
      <w:bCs/>
      <w:color w:val="000000"/>
      <w:szCs w:val="21"/>
      <w:u w:color="000000"/>
    </w:rPr>
  </w:style>
  <w:style w:type="character" w:customStyle="1" w:styleId="20">
    <w:name w:val="批注框文本 字符"/>
    <w:basedOn w:val="9"/>
    <w:link w:val="4"/>
    <w:autoRedefine/>
    <w:semiHidden/>
    <w:qFormat/>
    <w:uiPriority w:val="99"/>
    <w:rPr>
      <w:rFonts w:ascii="宋体" w:hAnsi="等线" w:eastAsia="宋体" w:cs="等线"/>
      <w:color w:val="000000"/>
      <w:sz w:val="18"/>
      <w:szCs w:val="18"/>
      <w:u w:color="000000"/>
    </w:rPr>
  </w:style>
  <w:style w:type="paragraph" w:customStyle="1" w:styleId="21">
    <w:name w:val="Revision"/>
    <w:autoRedefine/>
    <w:hidden/>
    <w:semiHidden/>
    <w:qFormat/>
    <w:uiPriority w:val="99"/>
    <w:rPr>
      <w:rFonts w:ascii="等线" w:hAnsi="等线" w:eastAsia="等线" w:cs="等线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22">
    <w:name w:val="Unresolved Mention"/>
    <w:basedOn w:val="9"/>
    <w:autoRedefine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4.xml"/><Relationship Id="rId11" Type="http://schemas.openxmlformats.org/officeDocument/2006/relationships/customXml" Target="../customXml/item3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023CB18EDEE044A8A2BE7D40DA9B4E" ma:contentTypeVersion="15" ma:contentTypeDescription="Create a new document." ma:contentTypeScope="" ma:versionID="93aa828fcee088f0521f3135a89ba20e">
  <xsd:schema xmlns:xsd="http://www.w3.org/2001/XMLSchema" xmlns:xs="http://www.w3.org/2001/XMLSchema" xmlns:p="http://schemas.microsoft.com/office/2006/metadata/properties" xmlns:ns2="45cc0af9-3c1b-4b25-ab47-62c0ea8f47a7" xmlns:ns3="b7e260d5-439b-472e-b53f-b1fa1f8f692e" targetNamespace="http://schemas.microsoft.com/office/2006/metadata/properties" ma:root="true" ma:fieldsID="6510c0373ef4aa7c8f2b089f58895b2a" ns2:_="" ns3:_="">
    <xsd:import namespace="45cc0af9-3c1b-4b25-ab47-62c0ea8f47a7"/>
    <xsd:import namespace="b7e260d5-439b-472e-b53f-b1fa1f8f69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c0af9-3c1b-4b25-ab47-62c0ea8f47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b27f5d6-1d68-42da-a830-4650f12cb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260d5-439b-472e-b53f-b1fa1f8f692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48b3a34-66ff-4130-a18a-e292d733dbe5}" ma:internalName="TaxCatchAll" ma:showField="CatchAllData" ma:web="b7e260d5-439b-472e-b53f-b1fa1f8f69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e260d5-439b-472e-b53f-b1fa1f8f692e" xsi:nil="true"/>
    <lcf76f155ced4ddcb4097134ff3c332f xmlns="45cc0af9-3c1b-4b25-ab47-62c0ea8f47a7">
      <Terms xmlns="http://schemas.microsoft.com/office/infopath/2007/PartnerControls"/>
    </lcf76f155ced4ddcb4097134ff3c332f>
    <SharedWithUsers xmlns="b7e260d5-439b-472e-b53f-b1fa1f8f692e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6FDC7-310D-45D9-A117-878A827E8BAC}">
  <ds:schemaRefs/>
</ds:datastoreItem>
</file>

<file path=customXml/itemProps2.xml><?xml version="1.0" encoding="utf-8"?>
<ds:datastoreItem xmlns:ds="http://schemas.openxmlformats.org/officeDocument/2006/customXml" ds:itemID="{A4BA9E5A-C965-4703-B83E-DBEA569D6C38}">
  <ds:schemaRefs/>
</ds:datastoreItem>
</file>

<file path=customXml/itemProps3.xml><?xml version="1.0" encoding="utf-8"?>
<ds:datastoreItem xmlns:ds="http://schemas.openxmlformats.org/officeDocument/2006/customXml" ds:itemID="{134AF319-881E-4295-8DB8-210BDF89A734}">
  <ds:schemaRefs/>
</ds:datastoreItem>
</file>

<file path=customXml/itemProps4.xml><?xml version="1.0" encoding="utf-8"?>
<ds:datastoreItem xmlns:ds="http://schemas.openxmlformats.org/officeDocument/2006/customXml" ds:itemID="{073E55E7-E1C8-4F43-AB0A-048E805FE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247</Words>
  <Characters>1414</Characters>
  <Lines>11</Lines>
  <Paragraphs>3</Paragraphs>
  <TotalTime>1520</TotalTime>
  <ScaleCrop>false</ScaleCrop>
  <LinksUpToDate>false</LinksUpToDate>
  <CharactersWithSpaces>1658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2024-01-13T10:29:00Z</dcterms:created>
  <dc:creator>Zoey Wang</dc:creator>
  <cp:lastModifiedBy>暮晖</cp:lastModifiedBy>
  <cp:lastPrinted>2024-01-26T03:10:00Z</cp:lastPrinted>
  <dcterms:modified xsi:type="dcterms:W3CDTF">2024-01-29T03:08:17Z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0x01010098023CB18EDEE044A8A2BE7D40DA9B4E</vt:lpwstr>
  </property>
  <property fmtid="{D5CDD505-2E9C-101B-9397-08002B2CF9AE}" pid="3" name="MediaServiceImageTags">
    <vt:lpwstr/>
  </property>
  <property fmtid="{D5CDD505-2E9C-101B-9397-08002B2CF9AE}" pid="4" name="KSOProductBuildVer">
    <vt:lpwstr>2052-12.1.0.16120</vt:lpwstr>
  </property>
  <property fmtid="{D5CDD505-2E9C-101B-9397-08002B2CF9AE}" pid="5" name="ICV">
    <vt:lpwstr>E449F3FAF47D4C74A3A26BA35ACE8A1B_13</vt:lpwstr>
  </property>
</Properties>
</file>