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[新闻背景材料]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2024年，成都轨道TOD打算这样干！</w:t>
      </w:r>
    </w:p>
    <w:p>
      <w:pPr>
        <w:ind w:firstLine="0" w:firstLineChars="0"/>
      </w:pPr>
    </w:p>
    <w:p>
      <w:pPr>
        <w:ind w:firstLine="640"/>
      </w:pPr>
      <w:r>
        <w:t>新年伊始，万象更新。</w:t>
      </w:r>
    </w:p>
    <w:p>
      <w:pPr>
        <w:ind w:firstLine="640"/>
      </w:pPr>
      <w:r>
        <w:t>走进青岛路TOD项目建设现场，法务中心塔楼进</w:t>
      </w:r>
      <w:r>
        <w:rPr>
          <w:rFonts w:hint="eastAsia"/>
          <w:lang w:val="en-US" w:eastAsia="zh-CN"/>
        </w:rPr>
        <w:t>入</w:t>
      </w:r>
      <w:r>
        <w:rPr>
          <w:rFonts w:hint="eastAsia"/>
        </w:rPr>
        <w:t>主体结构攻坚</w:t>
      </w:r>
      <w:r>
        <w:t xml:space="preserve">阶段，工程电梯上下穿梭、塔吊来回摆动、运输车辆来来往往，一派繁忙景象。开年以来，项目建设强度持续增加，向着一季度“开门红”奋力奔跑。 </w:t>
      </w:r>
    </w:p>
    <w:p>
      <w:pPr>
        <w:ind w:firstLine="640"/>
      </w:pPr>
      <w:r>
        <w:rPr>
          <w:rFonts w:hint="eastAsia"/>
          <w:lang w:val="en-US" w:eastAsia="zh-CN"/>
        </w:rPr>
        <w:t>与此同时</w:t>
      </w:r>
      <w:r>
        <w:t>，在陆肖TOD，万象天地项目正高速推进；在四川师大站TOD，主体楼栋内部精装修正如火如荼……</w:t>
      </w:r>
    </w:p>
    <w:p>
      <w:pPr>
        <w:ind w:firstLine="640"/>
      </w:pPr>
      <w:r>
        <w:t>2024年，成都轨道TOD坚定“轨道与城市深度融合发展”战略方向和“示范引领、量质齐升”行动指引，成都轨道城市投资集团将深度挖掘轨道核心优势，全力以赴加快彰显TOD营城示范效应，奋力兑现TOD“反哺轨道交通、重塑城市形态”顶层设计，为奋力谱写中国式现代化成都轨道实践崭新篇章贡献TOD力量。</w:t>
      </w:r>
    </w:p>
    <w:p>
      <w:pPr>
        <w:ind w:firstLine="640"/>
        <w:rPr>
          <w:szCs w:val="32"/>
        </w:rPr>
      </w:pPr>
    </w:p>
    <w:p>
      <w:pPr>
        <w:ind w:firstLine="640"/>
        <w:rPr>
          <w:rFonts w:hint="eastAsia" w:eastAsia="黑体"/>
          <w:lang w:eastAsia="zh-CN"/>
        </w:rPr>
      </w:pPr>
      <w:r>
        <w:rPr>
          <w:rFonts w:hint="eastAsia" w:eastAsia="黑体"/>
        </w:rPr>
        <w:t>快投资、快动工、快见效</w:t>
      </w:r>
      <w:r>
        <w:rPr>
          <w:rFonts w:hint="eastAsia" w:eastAsia="黑体"/>
          <w:lang w:eastAsia="zh-CN"/>
        </w:rPr>
        <w:t>，</w:t>
      </w:r>
      <w:r>
        <w:rPr>
          <w:rFonts w:hint="eastAsia" w:eastAsia="黑体"/>
          <w:lang w:val="en-US" w:eastAsia="zh-CN"/>
        </w:rPr>
        <w:t>跑出项目开发加速度</w:t>
      </w:r>
    </w:p>
    <w:p>
      <w:pPr>
        <w:ind w:firstLine="640"/>
      </w:pPr>
      <w:r>
        <w:t>提前36天，友谊TOD主体结构封顶；梓潼宫TOD项目三期一号地块取得建设工程施工许可证；龙潭寺TOD三期首个地块取得建设工程规划许可证；马厂坝TOD项目二期B地块取得建设工程规划许可证……</w:t>
      </w:r>
    </w:p>
    <w:p>
      <w:pPr>
        <w:ind w:firstLine="640"/>
      </w:pPr>
      <w:r>
        <w:rPr>
          <w:rFonts w:hint="eastAsia"/>
        </w:rPr>
        <w:t>最</w:t>
      </w:r>
      <w:r>
        <w:t>近一周，</w:t>
      </w:r>
      <w:r>
        <w:rPr>
          <w:rFonts w:hint="eastAsia"/>
        </w:rPr>
        <w:t>成都</w:t>
      </w:r>
      <w:r>
        <w:t>轨道TOD项目持续刷新节点。新年伊始，成都轨道</w:t>
      </w:r>
      <w:r>
        <w:rPr>
          <w:rFonts w:hint="eastAsia"/>
        </w:rPr>
        <w:t>城市投资集团</w:t>
      </w:r>
      <w:r>
        <w:t>坚持“快投资、快动工、快见效”，跑出项目开发加速度。</w:t>
      </w:r>
    </w:p>
    <w:p>
      <w:pPr>
        <w:ind w:firstLine="640"/>
      </w:pPr>
      <w:r>
        <w:t>今年，成都轨道TOD将加快存量土地开发，力争全年新开工建设</w:t>
      </w:r>
      <w:r>
        <w:rPr>
          <w:rFonts w:hint="eastAsia"/>
        </w:rPr>
        <w:t>面积</w:t>
      </w:r>
      <w:r>
        <w:rPr>
          <w:rFonts w:hint="eastAsia"/>
          <w:lang w:val="en-US" w:eastAsia="zh-CN"/>
        </w:rPr>
        <w:t>再上台阶</w:t>
      </w:r>
      <w:r>
        <w:t>。“我们将强化统筹调度、流程管控、节点考核，通过前置策划设计等举措进一步理顺开发工序，切实缩短项目开发周期。”成都轨道城市投资集团相关负责人介绍，截至2023年底，成都轨道TOD开发体量稳居西南地区前列，围绕“拼经济、搞建设、促</w:t>
      </w:r>
      <w:r>
        <w:rPr>
          <w:rFonts w:hint="eastAsia"/>
        </w:rPr>
        <w:t>发展</w:t>
      </w:r>
      <w:r>
        <w:t>”战略，新一年</w:t>
      </w:r>
      <w:r>
        <w:rPr>
          <w:rFonts w:hint="eastAsia"/>
        </w:rPr>
        <w:t>，</w:t>
      </w:r>
      <w:r>
        <w:t>成都轨道城市投资集团将奋力</w:t>
      </w:r>
      <w:r>
        <w:rPr>
          <w:rFonts w:hint="eastAsia"/>
        </w:rPr>
        <w:t>担</w:t>
      </w:r>
      <w:r>
        <w:t>起国企</w:t>
      </w:r>
      <w:r>
        <w:rPr>
          <w:rFonts w:hint="eastAsia"/>
        </w:rPr>
        <w:t>责任</w:t>
      </w:r>
      <w:r>
        <w:t>，为城市和片区经济发展作出贡献</w:t>
      </w:r>
      <w:r>
        <w:rPr>
          <w:rFonts w:hint="eastAsia"/>
        </w:rPr>
        <w:t>。</w:t>
      </w:r>
    </w:p>
    <w:p>
      <w:pPr>
        <w:ind w:firstLine="640"/>
        <w:rPr>
          <w:color w:val="FF0000"/>
        </w:rPr>
      </w:pPr>
    </w:p>
    <w:p>
      <w:pPr>
        <w:ind w:firstLine="640"/>
        <w:rPr>
          <w:szCs w:val="32"/>
        </w:rPr>
      </w:pPr>
      <w:r>
        <w:rPr>
          <w:rFonts w:hint="eastAsia" w:eastAsia="黑体"/>
        </w:rPr>
        <w:t>今年多个TOD商业项目将亮相</w:t>
      </w:r>
    </w:p>
    <w:p>
      <w:pPr>
        <w:ind w:firstLine="640"/>
        <w:rPr>
          <w:rFonts w:hint="default" w:eastAsia="仿宋_GB2312"/>
          <w:szCs w:val="32"/>
          <w:lang w:val="en-US" w:eastAsia="zh-CN"/>
        </w:rPr>
      </w:pPr>
      <w:r>
        <w:rPr>
          <w:szCs w:val="32"/>
        </w:rPr>
        <w:t>“力促产业运营早入市，是今年成都</w:t>
      </w:r>
      <w:r>
        <w:rPr>
          <w:rFonts w:hint="eastAsia"/>
          <w:szCs w:val="32"/>
        </w:rPr>
        <w:t>轨道</w:t>
      </w:r>
      <w:r>
        <w:rPr>
          <w:szCs w:val="32"/>
        </w:rPr>
        <w:t>TOD项目最大期待。” 成都轨道城市投资集团相关负责人介绍，2024年，成都轨道TOD将坚定营城情怀、加快产业成势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  <w:highlight w:val="none"/>
          <w:lang w:val="en-US" w:eastAsia="zh-CN"/>
        </w:rPr>
        <w:t>推动包含陆肖超高层写字楼在内的一批项目启动实施。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除了</w:t>
      </w:r>
      <w:r>
        <w:rPr>
          <w:szCs w:val="32"/>
        </w:rPr>
        <w:t>全面加快商业项目建设之外，新一年，成都轨道TOD还将加快重点业态落位，精心开展多个重点项目产业策划定位，全力推动更多高能级产业落位TOD项目。</w:t>
      </w:r>
    </w:p>
    <w:p>
      <w:pPr>
        <w:ind w:firstLine="640"/>
        <w:rPr>
          <w:szCs w:val="32"/>
        </w:rPr>
      </w:pPr>
      <w:r>
        <w:rPr>
          <w:szCs w:val="32"/>
        </w:rPr>
        <w:t>“新一年，我们还将继续探索全新开发模式。”聚焦</w:t>
      </w:r>
      <w:r>
        <w:rPr>
          <w:rFonts w:hint="eastAsia"/>
          <w:szCs w:val="32"/>
          <w:lang w:val="en-US" w:eastAsia="zh-CN"/>
        </w:rPr>
        <w:t>TOD</w:t>
      </w:r>
      <w:r>
        <w:rPr>
          <w:szCs w:val="32"/>
        </w:rPr>
        <w:t>商业项目，积极探索与市场化领军商业</w:t>
      </w:r>
      <w:r>
        <w:rPr>
          <w:rFonts w:hint="eastAsia"/>
          <w:szCs w:val="32"/>
        </w:rPr>
        <w:t>品牌</w:t>
      </w:r>
      <w:r>
        <w:rPr>
          <w:szCs w:val="32"/>
        </w:rPr>
        <w:t>深度合作，充分借助市场优势力量谋划实施商业项目整体策划、品牌招引、运营管理等重点工作，助力提升TOD项目开发综合效益和整体价值。</w:t>
      </w:r>
    </w:p>
    <w:p>
      <w:pPr>
        <w:ind w:firstLine="640"/>
        <w:rPr>
          <w:szCs w:val="32"/>
        </w:rPr>
      </w:pPr>
      <w:r>
        <w:rPr>
          <w:szCs w:val="32"/>
          <w:highlight w:val="none"/>
        </w:rPr>
        <w:t>作为成都</w:t>
      </w:r>
      <w:r>
        <w:rPr>
          <w:rFonts w:hint="eastAsia"/>
          <w:szCs w:val="32"/>
          <w:highlight w:val="none"/>
          <w:lang w:val="en-US" w:eastAsia="zh-CN"/>
        </w:rPr>
        <w:t>市保障性租赁住房市场的重要组成部分，成都轨道</w:t>
      </w:r>
      <w:r>
        <w:rPr>
          <w:szCs w:val="32"/>
          <w:highlight w:val="none"/>
        </w:rPr>
        <w:t>TOD租赁住房也将在年内投入运营</w:t>
      </w:r>
      <w:r>
        <w:rPr>
          <w:szCs w:val="32"/>
        </w:rPr>
        <w:t>，项目不仅包含丰富公共场景，还将融合社区服务和智慧管理，给租住者带来全新的居住体验。</w:t>
      </w:r>
    </w:p>
    <w:p>
      <w:pPr>
        <w:ind w:firstLine="640"/>
      </w:pPr>
    </w:p>
    <w:p>
      <w:pPr>
        <w:ind w:firstLine="640"/>
        <w:rPr>
          <w:rFonts w:hint="default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深入践行“四前置”理念，推动车辆基地开发</w:t>
      </w:r>
    </w:p>
    <w:p>
      <w:pPr>
        <w:ind w:firstLine="640"/>
        <w:rPr>
          <w:szCs w:val="32"/>
          <w:highlight w:val="none"/>
        </w:rPr>
      </w:pPr>
      <w:r>
        <w:rPr>
          <w:rFonts w:hint="eastAsia"/>
          <w:szCs w:val="32"/>
          <w:highlight w:val="none"/>
        </w:rPr>
        <w:t>位于</w:t>
      </w:r>
      <w:r>
        <w:rPr>
          <w:rFonts w:hint="eastAsia"/>
          <w:szCs w:val="32"/>
          <w:highlight w:val="none"/>
          <w:lang w:val="en-US" w:eastAsia="zh-CN"/>
        </w:rPr>
        <w:t>蓉2</w:t>
      </w:r>
      <w:r>
        <w:rPr>
          <w:rFonts w:hint="eastAsia"/>
          <w:szCs w:val="32"/>
          <w:highlight w:val="none"/>
        </w:rPr>
        <w:t>号线</w:t>
      </w:r>
      <w:r>
        <w:rPr>
          <w:rFonts w:hint="eastAsia"/>
          <w:szCs w:val="32"/>
          <w:highlight w:val="none"/>
          <w:lang w:val="en-US" w:eastAsia="zh-CN"/>
        </w:rPr>
        <w:t>与西源大道旁的郫温</w:t>
      </w:r>
      <w:r>
        <w:rPr>
          <w:rFonts w:hint="eastAsia"/>
          <w:szCs w:val="32"/>
          <w:highlight w:val="none"/>
        </w:rPr>
        <w:t>车辆基地，</w:t>
      </w:r>
      <w:r>
        <w:rPr>
          <w:rFonts w:hint="eastAsia"/>
          <w:szCs w:val="32"/>
          <w:highlight w:val="none"/>
          <w:lang w:val="en-US" w:eastAsia="zh-CN"/>
        </w:rPr>
        <w:t>面积</w:t>
      </w:r>
      <w:r>
        <w:rPr>
          <w:rFonts w:hint="eastAsia"/>
          <w:szCs w:val="32"/>
          <w:highlight w:val="none"/>
        </w:rPr>
        <w:t>广阔</w:t>
      </w:r>
      <w:r>
        <w:rPr>
          <w:rFonts w:hint="eastAsia"/>
          <w:szCs w:val="32"/>
          <w:highlight w:val="none"/>
          <w:lang w:eastAsia="zh-CN"/>
        </w:rPr>
        <w:t>、</w:t>
      </w:r>
      <w:r>
        <w:rPr>
          <w:rFonts w:hint="eastAsia"/>
          <w:szCs w:val="32"/>
          <w:highlight w:val="none"/>
          <w:lang w:val="en-US" w:eastAsia="zh-CN"/>
        </w:rPr>
        <w:t>功能单一</w:t>
      </w:r>
      <w:r>
        <w:rPr>
          <w:rFonts w:hint="eastAsia"/>
          <w:szCs w:val="32"/>
          <w:highlight w:val="none"/>
          <w:lang w:eastAsia="zh-CN"/>
        </w:rPr>
        <w:t>，</w:t>
      </w:r>
      <w:r>
        <w:rPr>
          <w:rFonts w:hint="eastAsia"/>
          <w:szCs w:val="32"/>
          <w:highlight w:val="none"/>
        </w:rPr>
        <w:t>随着项目周边居住</w:t>
      </w:r>
      <w:r>
        <w:rPr>
          <w:rFonts w:hint="eastAsia"/>
          <w:szCs w:val="32"/>
          <w:highlight w:val="none"/>
          <w:lang w:eastAsia="zh-CN"/>
        </w:rPr>
        <w:t>、</w:t>
      </w:r>
      <w:r>
        <w:rPr>
          <w:rFonts w:hint="eastAsia"/>
          <w:szCs w:val="32"/>
          <w:highlight w:val="none"/>
          <w:lang w:val="en-US" w:eastAsia="zh-CN"/>
        </w:rPr>
        <w:t>工作</w:t>
      </w:r>
      <w:r>
        <w:rPr>
          <w:rFonts w:hint="eastAsia"/>
          <w:szCs w:val="32"/>
          <w:highlight w:val="none"/>
        </w:rPr>
        <w:t>人口持续增长，项目定位与</w:t>
      </w:r>
      <w:r>
        <w:rPr>
          <w:rFonts w:hint="eastAsia"/>
          <w:szCs w:val="32"/>
          <w:highlight w:val="none"/>
          <w:lang w:val="en-US" w:eastAsia="zh-CN"/>
        </w:rPr>
        <w:t>需求</w:t>
      </w:r>
      <w:r>
        <w:rPr>
          <w:rFonts w:hint="eastAsia"/>
          <w:szCs w:val="32"/>
          <w:highlight w:val="none"/>
        </w:rPr>
        <w:t>也在发生变化，亟</w:t>
      </w:r>
      <w:r>
        <w:rPr>
          <w:rFonts w:hint="eastAsia"/>
          <w:szCs w:val="32"/>
          <w:highlight w:val="none"/>
          <w:lang w:val="en-US" w:eastAsia="zh-CN"/>
        </w:rPr>
        <w:t>待</w:t>
      </w:r>
      <w:r>
        <w:rPr>
          <w:rFonts w:hint="eastAsia"/>
          <w:szCs w:val="32"/>
          <w:highlight w:val="none"/>
        </w:rPr>
        <w:t>实现从“停车场”到“综合体”的</w:t>
      </w:r>
      <w:r>
        <w:rPr>
          <w:rFonts w:hint="eastAsia"/>
          <w:szCs w:val="32"/>
          <w:highlight w:val="none"/>
          <w:lang w:val="en-US" w:eastAsia="zh-CN"/>
        </w:rPr>
        <w:t>升级</w:t>
      </w:r>
      <w:r>
        <w:rPr>
          <w:rFonts w:hint="eastAsia"/>
          <w:szCs w:val="32"/>
          <w:highlight w:val="none"/>
        </w:rPr>
        <w:t>。</w:t>
      </w:r>
    </w:p>
    <w:p>
      <w:pPr>
        <w:ind w:firstLine="640"/>
        <w:rPr>
          <w:szCs w:val="32"/>
        </w:rPr>
      </w:pPr>
      <w:r>
        <w:t>“将车辆基地</w:t>
      </w:r>
      <w:r>
        <w:rPr>
          <w:rFonts w:hint="eastAsia"/>
        </w:rPr>
        <w:t>以及</w:t>
      </w:r>
      <w:r>
        <w:t>周边土地集中规划、集中打造、集中运营，既能提升远郊土地利用率，又能充分体现城市发展新内涵，还能带动项目片区经济高质量发展，</w:t>
      </w:r>
      <w:r>
        <w:rPr>
          <w:szCs w:val="32"/>
        </w:rPr>
        <w:t>统筹梳理车辆基地综合开发计划</w:t>
      </w:r>
      <w:r>
        <w:t>是我们今年重点工作之一。”</w:t>
      </w:r>
      <w:r>
        <w:rPr>
          <w:szCs w:val="32"/>
        </w:rPr>
        <w:t>成都轨道城市投资集团相关负责人介绍，今年将重点实施</w:t>
      </w:r>
      <w:r>
        <w:rPr>
          <w:rFonts w:hint="eastAsia"/>
          <w:szCs w:val="32"/>
        </w:rPr>
        <w:t>多个</w:t>
      </w:r>
      <w:r>
        <w:rPr>
          <w:szCs w:val="32"/>
        </w:rPr>
        <w:t>基地项目开发建设，聚焦规划设计研发、产品营销策划、建设质量把控等重点环节，打造车辆基地上盖开发示范项目。</w:t>
      </w:r>
    </w:p>
    <w:p>
      <w:pPr>
        <w:ind w:firstLine="640"/>
        <w:rPr>
          <w:szCs w:val="32"/>
        </w:rPr>
      </w:pPr>
      <w:r>
        <w:rPr>
          <w:szCs w:val="32"/>
        </w:rPr>
        <w:t>此外，今年</w:t>
      </w:r>
      <w:r>
        <w:rPr>
          <w:rFonts w:hint="eastAsia"/>
          <w:szCs w:val="32"/>
        </w:rPr>
        <w:t>成都</w:t>
      </w:r>
      <w:r>
        <w:rPr>
          <w:szCs w:val="32"/>
        </w:rPr>
        <w:t>轨道城市</w:t>
      </w:r>
      <w:r>
        <w:rPr>
          <w:rFonts w:hint="eastAsia"/>
          <w:szCs w:val="32"/>
        </w:rPr>
        <w:t>投资</w:t>
      </w:r>
      <w:r>
        <w:rPr>
          <w:szCs w:val="32"/>
        </w:rPr>
        <w:t>集团还将加快建立车辆基地综合开发分层规划、分层供地工作机制。</w:t>
      </w:r>
    </w:p>
    <w:p>
      <w:pPr>
        <w:ind w:firstLine="640"/>
      </w:pPr>
      <w:r>
        <w:t>“</w:t>
      </w:r>
      <w:r>
        <w:rPr>
          <w:szCs w:val="32"/>
        </w:rPr>
        <w:t>立足推动TOD可持续发展，在车辆基地综合开发领域努力抢占全国高地、打造一流品牌。</w:t>
      </w:r>
      <w:r>
        <w:t>”成都轨道城市投资集团相关负责人介绍，以“</w:t>
      </w:r>
      <w:r>
        <w:rPr>
          <w:rFonts w:hint="eastAsia"/>
        </w:rPr>
        <w:t>运营前置、TOD前置、资源开发前置、市政配套前置</w:t>
      </w:r>
      <w:r>
        <w:t>”</w:t>
      </w:r>
      <w:r>
        <w:rPr>
          <w:rFonts w:hint="eastAsia"/>
        </w:rPr>
        <w:t>等</w:t>
      </w:r>
      <w:r>
        <w:t>四前置为指引，全面落实“站城一体、立体垂直、高效互联”理念，进一步深化未来地铁站点及车辆基地综合开发专题研究，着力实现车站、车辆段与TOD项目完美融合，形成核心竞争力。</w:t>
      </w:r>
    </w:p>
    <w:p>
      <w:pPr>
        <w:ind w:firstLine="640"/>
        <w:rPr>
          <w:szCs w:val="32"/>
        </w:rPr>
      </w:pPr>
      <w:r>
        <w:rPr>
          <w:kern w:val="0"/>
          <w:szCs w:val="32"/>
        </w:rPr>
        <w:t>面对新任务、新征程，冲刺一季度开门红的号角已经吹响，成都轨道TOD正昂首阔步，</w:t>
      </w:r>
      <w:r>
        <w:t>向着“建轨道就是建城市，通轨道就是通生活”的战略目标奋力前进。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2"/>
    <w:rsid w:val="000141E3"/>
    <w:rsid w:val="000831FC"/>
    <w:rsid w:val="000946F8"/>
    <w:rsid w:val="001063CE"/>
    <w:rsid w:val="002770F8"/>
    <w:rsid w:val="00295D2C"/>
    <w:rsid w:val="002D70F2"/>
    <w:rsid w:val="00323B1B"/>
    <w:rsid w:val="0036751B"/>
    <w:rsid w:val="00367DCF"/>
    <w:rsid w:val="003716FB"/>
    <w:rsid w:val="003A6C72"/>
    <w:rsid w:val="003B7F30"/>
    <w:rsid w:val="003D0A12"/>
    <w:rsid w:val="003F1188"/>
    <w:rsid w:val="00443078"/>
    <w:rsid w:val="00476529"/>
    <w:rsid w:val="00495099"/>
    <w:rsid w:val="004B46AD"/>
    <w:rsid w:val="004F6427"/>
    <w:rsid w:val="005F6240"/>
    <w:rsid w:val="006905E6"/>
    <w:rsid w:val="0077376F"/>
    <w:rsid w:val="00780722"/>
    <w:rsid w:val="00785B47"/>
    <w:rsid w:val="00792551"/>
    <w:rsid w:val="007E066C"/>
    <w:rsid w:val="008270FD"/>
    <w:rsid w:val="008B06D7"/>
    <w:rsid w:val="009418AC"/>
    <w:rsid w:val="009E7F7E"/>
    <w:rsid w:val="00C71CE6"/>
    <w:rsid w:val="00C80D40"/>
    <w:rsid w:val="00D050AB"/>
    <w:rsid w:val="00D36BC3"/>
    <w:rsid w:val="00E40472"/>
    <w:rsid w:val="00EB7933"/>
    <w:rsid w:val="01630F53"/>
    <w:rsid w:val="02A23E5E"/>
    <w:rsid w:val="07287ACA"/>
    <w:rsid w:val="0B50371D"/>
    <w:rsid w:val="0BCE1DED"/>
    <w:rsid w:val="0C4F583E"/>
    <w:rsid w:val="11CD3FC1"/>
    <w:rsid w:val="11CF74C4"/>
    <w:rsid w:val="12D1381B"/>
    <w:rsid w:val="143A53BF"/>
    <w:rsid w:val="1715356B"/>
    <w:rsid w:val="182F0FC2"/>
    <w:rsid w:val="19281CD4"/>
    <w:rsid w:val="1A2E1582"/>
    <w:rsid w:val="1A763C41"/>
    <w:rsid w:val="1E9B1957"/>
    <w:rsid w:val="1EB94EF1"/>
    <w:rsid w:val="20E40D06"/>
    <w:rsid w:val="28A31EAF"/>
    <w:rsid w:val="2A6215F2"/>
    <w:rsid w:val="2B4C581C"/>
    <w:rsid w:val="2B5D6FBC"/>
    <w:rsid w:val="2BEC169E"/>
    <w:rsid w:val="2D4D4313"/>
    <w:rsid w:val="31A77C86"/>
    <w:rsid w:val="33A53EC8"/>
    <w:rsid w:val="3640134D"/>
    <w:rsid w:val="3B4536B7"/>
    <w:rsid w:val="3E5838C8"/>
    <w:rsid w:val="3FCD4CB7"/>
    <w:rsid w:val="433757BF"/>
    <w:rsid w:val="43887900"/>
    <w:rsid w:val="439553C0"/>
    <w:rsid w:val="43B655A2"/>
    <w:rsid w:val="43FA6097"/>
    <w:rsid w:val="45A75D52"/>
    <w:rsid w:val="462F27B3"/>
    <w:rsid w:val="48BB0BE3"/>
    <w:rsid w:val="499408C6"/>
    <w:rsid w:val="4AE77687"/>
    <w:rsid w:val="4B26325B"/>
    <w:rsid w:val="4C03387D"/>
    <w:rsid w:val="4C623DBD"/>
    <w:rsid w:val="4C6373E0"/>
    <w:rsid w:val="4E202BB9"/>
    <w:rsid w:val="51186119"/>
    <w:rsid w:val="5296781D"/>
    <w:rsid w:val="53A235C5"/>
    <w:rsid w:val="53EB28D7"/>
    <w:rsid w:val="55B32AE8"/>
    <w:rsid w:val="56F94118"/>
    <w:rsid w:val="57553607"/>
    <w:rsid w:val="5AEE1C8C"/>
    <w:rsid w:val="5B417443"/>
    <w:rsid w:val="5CEE68AF"/>
    <w:rsid w:val="5FE01DDB"/>
    <w:rsid w:val="616400D7"/>
    <w:rsid w:val="62A86D6B"/>
    <w:rsid w:val="64342CEE"/>
    <w:rsid w:val="66586824"/>
    <w:rsid w:val="67C00940"/>
    <w:rsid w:val="695D7303"/>
    <w:rsid w:val="699975CE"/>
    <w:rsid w:val="6BD93380"/>
    <w:rsid w:val="6C1D4D6E"/>
    <w:rsid w:val="6E457BF6"/>
    <w:rsid w:val="705666DD"/>
    <w:rsid w:val="71390ECE"/>
    <w:rsid w:val="767E1A75"/>
    <w:rsid w:val="7EB85AF2"/>
    <w:rsid w:val="7ED97363"/>
    <w:rsid w:val="7F0B337E"/>
    <w:rsid w:val="7F4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929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ind w:firstLine="640"/>
    </w:pPr>
    <w:rPr>
      <w:rFonts w:hint="eastAsia" w:ascii="仿宋_GB2312" w:hAnsi="仿宋_GB2312" w:cs="仿宋_GB2312"/>
      <w:szCs w:val="32"/>
    </w:rPr>
  </w:style>
  <w:style w:type="paragraph" w:customStyle="1" w:styleId="7">
    <w:name w:val="样式6"/>
    <w:basedOn w:val="1"/>
    <w:qFormat/>
    <w:uiPriority w:val="0"/>
    <w:rPr>
      <w:rFonts w:hint="eastAsia"/>
    </w:rPr>
  </w:style>
  <w:style w:type="character" w:customStyle="1" w:styleId="8">
    <w:name w:val="标题 3 Char"/>
    <w:basedOn w:val="5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9">
    <w:name w:val="批注框文本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263</Words>
  <Characters>1501</Characters>
  <Lines>12</Lines>
  <Paragraphs>3</Paragraphs>
  <TotalTime>34</TotalTime>
  <ScaleCrop>false</ScaleCrop>
  <LinksUpToDate>false</LinksUpToDate>
  <CharactersWithSpaces>1761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2021-10-09T00:44:00Z</dcterms:created>
  <dc:creator>hp</dc:creator>
  <cp:lastModifiedBy>暮晖</cp:lastModifiedBy>
  <cp:lastPrinted>2024-01-31T07:09:00Z</cp:lastPrinted>
  <dcterms:modified xsi:type="dcterms:W3CDTF">2024-01-31T08:12:17Z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89E6B06077F14C38B0AD54E7DFBE2F25_13</vt:lpwstr>
  </property>
</Properties>
</file>