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sans-serif"/>
          <w:b/>
          <w:bCs/>
          <w:color w:val="333333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sans-serif"/>
          <w:b/>
          <w:bCs/>
          <w:color w:val="333333"/>
          <w:kern w:val="0"/>
          <w:sz w:val="32"/>
          <w:szCs w:val="32"/>
          <w:lang w:bidi="ar"/>
        </w:rPr>
        <w:t>叙永县</w:t>
      </w:r>
      <w:r>
        <w:rPr>
          <w:rFonts w:ascii="宋体" w:hAnsi="宋体" w:eastAsia="宋体" w:cs="sans-serif"/>
          <w:b/>
          <w:bCs/>
          <w:color w:val="333333"/>
          <w:kern w:val="0"/>
          <w:sz w:val="32"/>
          <w:szCs w:val="32"/>
          <w:lang w:bidi="ar"/>
        </w:rPr>
        <w:t>市场监管局开展</w:t>
      </w:r>
      <w:r>
        <w:rPr>
          <w:rFonts w:hint="eastAsia" w:ascii="宋体" w:hAnsi="宋体" w:eastAsia="宋体" w:cs="sans-serif"/>
          <w:b/>
          <w:bCs/>
          <w:color w:val="333333"/>
          <w:kern w:val="0"/>
          <w:sz w:val="32"/>
          <w:szCs w:val="32"/>
          <w:lang w:bidi="ar"/>
        </w:rPr>
        <w:t>春</w:t>
      </w:r>
      <w:r>
        <w:rPr>
          <w:rFonts w:ascii="宋体" w:hAnsi="宋体" w:eastAsia="宋体" w:cs="sans-serif"/>
          <w:b/>
          <w:bCs/>
          <w:color w:val="333333"/>
          <w:kern w:val="0"/>
          <w:sz w:val="32"/>
          <w:szCs w:val="32"/>
          <w:lang w:bidi="ar"/>
        </w:rPr>
        <w:t>节前食品安全检查</w:t>
      </w:r>
    </w:p>
    <w:p>
      <w:pPr>
        <w:widowControl/>
        <w:jc w:val="center"/>
        <w:rPr>
          <w:rFonts w:ascii="宋体" w:hAnsi="宋体" w:eastAsia="宋体" w:cs="sans-serif"/>
          <w:b/>
          <w:bCs/>
          <w:color w:val="333333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cs="Times New Roman" w:asciiTheme="minorEastAsia" w:hAnsiTheme="minorEastAsia"/>
          <w:kern w:val="0"/>
          <w:sz w:val="28"/>
          <w:szCs w:val="28"/>
        </w:rPr>
      </w:pPr>
      <w:r>
        <w:rPr>
          <w:rFonts w:hint="eastAsia" w:cs="Times New Roman" w:asciiTheme="minorEastAsia" w:hAnsiTheme="minorEastAsia"/>
          <w:kern w:val="0"/>
          <w:sz w:val="28"/>
          <w:szCs w:val="28"/>
        </w:rPr>
        <w:t>年关将至，食品消费进入高峰期，为守住食品安全底线，保障全县人民食品安全，叙永县</w:t>
      </w:r>
      <w:r>
        <w:rPr>
          <w:rFonts w:cs="Times New Roman" w:asciiTheme="minorEastAsia" w:hAnsiTheme="minorEastAsia"/>
          <w:kern w:val="0"/>
          <w:sz w:val="28"/>
          <w:szCs w:val="28"/>
        </w:rPr>
        <w:t>市场监管局开展节</w:t>
      </w:r>
      <w:r>
        <w:rPr>
          <w:rFonts w:hint="eastAsia" w:cs="Times New Roman" w:asciiTheme="minorEastAsia" w:hAnsiTheme="minorEastAsia"/>
          <w:kern w:val="0"/>
          <w:sz w:val="28"/>
          <w:szCs w:val="28"/>
        </w:rPr>
        <w:t>前</w:t>
      </w:r>
      <w:r>
        <w:rPr>
          <w:rFonts w:cs="Times New Roman" w:asciiTheme="minorEastAsia" w:hAnsiTheme="minorEastAsia"/>
          <w:kern w:val="0"/>
          <w:sz w:val="28"/>
          <w:szCs w:val="28"/>
        </w:rPr>
        <w:t>食品安全检查</w:t>
      </w:r>
      <w:r>
        <w:rPr>
          <w:rFonts w:hint="eastAsia" w:cs="Times New Roman" w:asciiTheme="minorEastAsia" w:hAnsiTheme="minorEastAsia"/>
          <w:kern w:val="0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0" w:firstLineChars="200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检查中，</w:t>
      </w:r>
      <w:r>
        <w:rPr>
          <w:rFonts w:asciiTheme="minorEastAsia" w:hAnsiTheme="minorEastAsia"/>
          <w:sz w:val="28"/>
          <w:szCs w:val="28"/>
        </w:rPr>
        <w:t>执法人员</w:t>
      </w:r>
      <w:r>
        <w:rPr>
          <w:rFonts w:hint="eastAsia" w:asciiTheme="minorEastAsia" w:hAnsiTheme="minorEastAsia"/>
          <w:sz w:val="28"/>
          <w:szCs w:val="28"/>
          <w:lang w:bidi="ar"/>
        </w:rPr>
        <w:t>以粮食加工品、食用农产品、节令食品生产经营主体为重点检查对象，围绕主体资质证明、“三防”设施、经营（加工）场所环境卫生、进销货台账记录、标签标识、食品储存等方面进行检查，严厉打击过度包装、虚假宣传等违法行为</w:t>
      </w:r>
      <w:r>
        <w:rPr>
          <w:rFonts w:hint="eastAsia" w:asciiTheme="minorEastAsia" w:hAnsiTheme="minorEastAsia"/>
          <w:sz w:val="28"/>
          <w:szCs w:val="28"/>
        </w:rPr>
        <w:t>。此外，执法人员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在现场</w:t>
      </w:r>
      <w:r>
        <w:rPr>
          <w:rFonts w:hint="eastAsia" w:asciiTheme="minorEastAsia" w:hAnsiTheme="minorEastAsia"/>
          <w:sz w:val="28"/>
          <w:szCs w:val="28"/>
        </w:rPr>
        <w:t>了解</w:t>
      </w:r>
      <w:r>
        <w:rPr>
          <w:rFonts w:asciiTheme="minorEastAsia" w:hAnsiTheme="minorEastAsia"/>
          <w:sz w:val="28"/>
          <w:szCs w:val="28"/>
        </w:rPr>
        <w:t>商品销售</w:t>
      </w:r>
      <w:r>
        <w:rPr>
          <w:rFonts w:hint="eastAsia" w:asciiTheme="minorEastAsia" w:hAnsiTheme="minorEastAsia"/>
          <w:sz w:val="28"/>
          <w:szCs w:val="28"/>
        </w:rPr>
        <w:t>和</w:t>
      </w:r>
      <w:r>
        <w:rPr>
          <w:rFonts w:asciiTheme="minorEastAsia" w:hAnsiTheme="minorEastAsia"/>
          <w:sz w:val="28"/>
          <w:szCs w:val="28"/>
        </w:rPr>
        <w:t>价格波动情况，要求</w:t>
      </w:r>
      <w:r>
        <w:rPr>
          <w:rFonts w:hint="eastAsia" w:asciiTheme="minorEastAsia" w:hAnsiTheme="minorEastAsia"/>
          <w:sz w:val="28"/>
          <w:szCs w:val="28"/>
        </w:rPr>
        <w:t>食品生产经营单位严格落实主体责任，建立</w:t>
      </w:r>
      <w:r>
        <w:rPr>
          <w:rFonts w:hint="eastAsia" w:asciiTheme="minorEastAsia" w:hAnsiTheme="minorEastAsia"/>
          <w:sz w:val="28"/>
          <w:szCs w:val="28"/>
          <w:lang w:eastAsia="zh-CN"/>
        </w:rPr>
        <w:t>健全</w:t>
      </w:r>
      <w:r>
        <w:rPr>
          <w:rFonts w:hint="eastAsia" w:asciiTheme="minorEastAsia" w:hAnsiTheme="minorEastAsia"/>
          <w:sz w:val="28"/>
          <w:szCs w:val="28"/>
        </w:rPr>
        <w:t>“日管控、周排查、月调度”工作机制，加强行业自律，做到诚信经营，及时消除食品安全隐患，筑牢食品安全防线。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“从检查结果看，</w:t>
      </w:r>
      <w:r>
        <w:rPr>
          <w:rFonts w:hint="eastAsia" w:asciiTheme="minorEastAsia" w:hAnsiTheme="minorEastAsia"/>
          <w:sz w:val="28"/>
          <w:szCs w:val="28"/>
          <w:lang w:eastAsia="zh-CN"/>
        </w:rPr>
        <w:t>辖区</w:t>
      </w:r>
      <w:r>
        <w:rPr>
          <w:rFonts w:hint="eastAsia" w:asciiTheme="minorEastAsia" w:hAnsiTheme="minorEastAsia"/>
          <w:sz w:val="28"/>
          <w:szCs w:val="28"/>
        </w:rPr>
        <w:t>生产</w:t>
      </w:r>
      <w:r>
        <w:rPr>
          <w:rFonts w:asciiTheme="minorEastAsia" w:hAnsiTheme="minorEastAsia"/>
          <w:sz w:val="28"/>
          <w:szCs w:val="28"/>
        </w:rPr>
        <w:t>经营</w:t>
      </w:r>
      <w:r>
        <w:rPr>
          <w:rFonts w:hint="eastAsia" w:asciiTheme="minorEastAsia" w:hAnsiTheme="minorEastAsia"/>
          <w:sz w:val="28"/>
          <w:szCs w:val="28"/>
        </w:rPr>
        <w:t>单位</w:t>
      </w:r>
      <w:r>
        <w:rPr>
          <w:rFonts w:asciiTheme="minorEastAsia" w:hAnsiTheme="minorEastAsia"/>
          <w:sz w:val="28"/>
          <w:szCs w:val="28"/>
        </w:rPr>
        <w:t>秩序良好，</w:t>
      </w:r>
      <w:r>
        <w:rPr>
          <w:rFonts w:hint="eastAsia" w:asciiTheme="minorEastAsia" w:hAnsiTheme="minorEastAsia"/>
          <w:sz w:val="28"/>
          <w:szCs w:val="28"/>
          <w:lang w:eastAsia="zh-CN"/>
        </w:rPr>
        <w:t>暂</w:t>
      </w:r>
      <w:r>
        <w:rPr>
          <w:rFonts w:asciiTheme="minorEastAsia" w:hAnsiTheme="minorEastAsia"/>
          <w:sz w:val="28"/>
          <w:szCs w:val="28"/>
        </w:rPr>
        <w:t>未发现违法违规行为</w:t>
      </w:r>
      <w:r>
        <w:rPr>
          <w:rFonts w:hint="eastAsia" w:asciiTheme="minorEastAsia" w:hAnsiTheme="minorEastAsia"/>
          <w:sz w:val="28"/>
          <w:szCs w:val="28"/>
          <w:lang w:eastAsia="zh-CN"/>
        </w:rPr>
        <w:t>……</w:t>
      </w:r>
      <w:r>
        <w:rPr>
          <w:rFonts w:asciiTheme="minorEastAsia" w:hAnsiTheme="minorEastAsia"/>
          <w:sz w:val="28"/>
          <w:szCs w:val="28"/>
        </w:rPr>
        <w:t>”</w:t>
      </w:r>
      <w:r>
        <w:rPr>
          <w:rFonts w:hint="eastAsia" w:asciiTheme="minorEastAsia" w:hAnsiTheme="minorEastAsia"/>
          <w:sz w:val="28"/>
          <w:szCs w:val="28"/>
        </w:rPr>
        <w:t>叙永县</w:t>
      </w:r>
      <w:r>
        <w:rPr>
          <w:rFonts w:asciiTheme="minorEastAsia" w:hAnsiTheme="minorEastAsia"/>
          <w:sz w:val="28"/>
          <w:szCs w:val="28"/>
        </w:rPr>
        <w:t>市场监管局</w:t>
      </w:r>
      <w:r>
        <w:rPr>
          <w:rFonts w:hint="eastAsia" w:asciiTheme="minorEastAsia" w:hAnsiTheme="minorEastAsia"/>
          <w:sz w:val="28"/>
          <w:szCs w:val="28"/>
        </w:rPr>
        <w:t>食品生产股</w:t>
      </w:r>
      <w:r>
        <w:rPr>
          <w:rFonts w:hint="eastAsia" w:asciiTheme="minorEastAsia" w:hAnsiTheme="minorEastAsia"/>
          <w:sz w:val="28"/>
          <w:szCs w:val="28"/>
          <w:lang w:eastAsia="zh-CN"/>
        </w:rPr>
        <w:t>负责人</w:t>
      </w:r>
      <w:r>
        <w:rPr>
          <w:rFonts w:hint="eastAsia" w:asciiTheme="minorEastAsia" w:hAnsiTheme="minorEastAsia"/>
          <w:sz w:val="28"/>
          <w:szCs w:val="28"/>
        </w:rPr>
        <w:t>表</w:t>
      </w:r>
      <w:r>
        <w:rPr>
          <w:rFonts w:asciiTheme="minorEastAsia" w:hAnsiTheme="minorEastAsia"/>
          <w:sz w:val="28"/>
          <w:szCs w:val="28"/>
        </w:rPr>
        <w:t>示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asciiTheme="minorEastAsia" w:hAnsiTheme="minorEastAsia"/>
          <w:sz w:val="28"/>
          <w:szCs w:val="28"/>
        </w:rPr>
        <w:t>下一步，</w:t>
      </w:r>
      <w:r>
        <w:rPr>
          <w:rFonts w:hint="eastAsia" w:asciiTheme="minorEastAsia" w:hAnsiTheme="minorEastAsia"/>
          <w:sz w:val="28"/>
          <w:szCs w:val="28"/>
          <w:lang w:eastAsia="zh-CN"/>
        </w:rPr>
        <w:t>叙永县市场监管</w:t>
      </w:r>
      <w:r>
        <w:rPr>
          <w:rFonts w:hint="eastAsia" w:asciiTheme="minorEastAsia" w:hAnsiTheme="minorEastAsia"/>
          <w:sz w:val="28"/>
          <w:szCs w:val="28"/>
        </w:rPr>
        <w:t>局</w:t>
      </w:r>
      <w:r>
        <w:rPr>
          <w:rFonts w:asciiTheme="minorEastAsia" w:hAnsiTheme="minorEastAsia"/>
          <w:sz w:val="28"/>
          <w:szCs w:val="28"/>
        </w:rPr>
        <w:t>将进一步</w:t>
      </w:r>
      <w:r>
        <w:rPr>
          <w:rFonts w:hint="eastAsia" w:asciiTheme="minorEastAsia" w:hAnsiTheme="minorEastAsia"/>
          <w:sz w:val="28"/>
          <w:szCs w:val="28"/>
          <w:lang w:eastAsia="zh-CN"/>
        </w:rPr>
        <w:t>突出重点，</w:t>
      </w:r>
      <w:r>
        <w:rPr>
          <w:rFonts w:asciiTheme="minorEastAsia" w:hAnsiTheme="minorEastAsia"/>
          <w:sz w:val="28"/>
          <w:szCs w:val="28"/>
        </w:rPr>
        <w:t>加大执法检查力度，</w:t>
      </w:r>
      <w:r>
        <w:rPr>
          <w:rFonts w:hint="eastAsia" w:asciiTheme="minorEastAsia" w:hAnsiTheme="minorEastAsia"/>
          <w:sz w:val="28"/>
          <w:szCs w:val="28"/>
          <w:lang w:eastAsia="zh-CN"/>
        </w:rPr>
        <w:t>不断</w:t>
      </w:r>
      <w:r>
        <w:rPr>
          <w:rFonts w:asciiTheme="minorEastAsia" w:hAnsiTheme="minorEastAsia"/>
          <w:sz w:val="28"/>
          <w:szCs w:val="28"/>
        </w:rPr>
        <w:t>规范市场秩序，</w:t>
      </w:r>
      <w:r>
        <w:rPr>
          <w:rFonts w:hint="eastAsia" w:asciiTheme="minorEastAsia" w:hAnsiTheme="minorEastAsia"/>
          <w:sz w:val="28"/>
          <w:szCs w:val="28"/>
          <w:lang w:eastAsia="zh-CN"/>
        </w:rPr>
        <w:t>及时</w:t>
      </w:r>
      <w:r>
        <w:rPr>
          <w:rFonts w:asciiTheme="minorEastAsia" w:hAnsiTheme="minorEastAsia"/>
          <w:sz w:val="28"/>
          <w:szCs w:val="28"/>
        </w:rPr>
        <w:t>处理</w:t>
      </w:r>
      <w:r>
        <w:rPr>
          <w:rFonts w:hint="eastAsia" w:asciiTheme="minorEastAsia" w:hAnsiTheme="minorEastAsia"/>
          <w:sz w:val="28"/>
          <w:szCs w:val="28"/>
          <w:lang w:eastAsia="zh-CN"/>
        </w:rPr>
        <w:t>群众</w:t>
      </w:r>
      <w:r>
        <w:rPr>
          <w:rFonts w:asciiTheme="minorEastAsia" w:hAnsiTheme="minorEastAsia"/>
          <w:sz w:val="28"/>
          <w:szCs w:val="28"/>
        </w:rPr>
        <w:t>诉求</w:t>
      </w:r>
      <w:r>
        <w:rPr>
          <w:rFonts w:hint="eastAsia" w:asciiTheme="minorEastAsia" w:hAnsiTheme="minorEastAsia"/>
          <w:sz w:val="28"/>
          <w:szCs w:val="28"/>
          <w:lang w:eastAsia="zh-CN"/>
        </w:rPr>
        <w:t>，确保</w:t>
      </w:r>
      <w:r>
        <w:rPr>
          <w:rFonts w:asciiTheme="minorEastAsia" w:hAnsiTheme="minorEastAsia"/>
          <w:sz w:val="28"/>
          <w:szCs w:val="28"/>
        </w:rPr>
        <w:t>广大市民能够享受一个欢乐和安心的春节。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（吴晓燕）</w:t>
      </w:r>
    </w:p>
    <w:p>
      <w:pPr>
        <w:widowControl/>
        <w:jc w:val="left"/>
        <w:rPr>
          <w:rFonts w:ascii="sans-serif" w:hAnsi="sans-serif" w:eastAsia="sans-serif" w:cs="sans-serif"/>
          <w:color w:val="333333"/>
          <w:kern w:val="0"/>
          <w:sz w:val="51"/>
          <w:szCs w:val="51"/>
          <w:lang w:bidi="ar"/>
        </w:rPr>
      </w:pPr>
      <w:r>
        <w:rPr>
          <w:rFonts w:ascii="sans-serif" w:hAnsi="sans-serif" w:eastAsia="sans-serif" w:cs="sans-serif"/>
          <w:color w:val="333333"/>
          <w:kern w:val="0"/>
          <w:sz w:val="51"/>
          <w:szCs w:val="51"/>
          <w:lang w:bidi="ar"/>
        </w:rPr>
        <w:drawing>
          <wp:inline distT="0" distB="0" distL="0" distR="0">
            <wp:extent cx="5274310" cy="3953510"/>
            <wp:effectExtent l="0" t="0" r="2540" b="8890"/>
            <wp:docPr id="7979478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94788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sans-serif" w:hAnsi="sans-serif" w:eastAsia="sans-serif" w:cs="sans-serif"/>
          <w:color w:val="333333"/>
          <w:kern w:val="0"/>
          <w:sz w:val="54"/>
          <w:szCs w:val="54"/>
          <w:lang w:bidi="ar"/>
        </w:rPr>
      </w:pPr>
      <w:r>
        <w:rPr>
          <w:rFonts w:ascii="sans-serif" w:hAnsi="sans-serif" w:eastAsia="sans-serif" w:cs="sans-serif"/>
          <w:color w:val="333333"/>
          <w:kern w:val="0"/>
          <w:sz w:val="51"/>
          <w:szCs w:val="51"/>
          <w:lang w:bidi="ar"/>
        </w:rPr>
        <w:drawing>
          <wp:inline distT="0" distB="0" distL="114300" distR="114300">
            <wp:extent cx="5274310" cy="3955415"/>
            <wp:effectExtent l="0" t="0" r="2540" b="6985"/>
            <wp:docPr id="1" name="图片 1" descr="微信图片_20240130085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1300856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exact"/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2OWFiYzIyNzQ5MGY5ZWVmYTk5NmFlM2I1MDBkNWIifQ=="/>
  </w:docVars>
  <w:rsids>
    <w:rsidRoot w:val="54C144F3"/>
    <w:rsid w:val="000F5AD5"/>
    <w:rsid w:val="002216C6"/>
    <w:rsid w:val="00350988"/>
    <w:rsid w:val="008C29AF"/>
    <w:rsid w:val="00BD0BDE"/>
    <w:rsid w:val="00C81B5C"/>
    <w:rsid w:val="077A5CDB"/>
    <w:rsid w:val="189A36EE"/>
    <w:rsid w:val="2EF7E76A"/>
    <w:rsid w:val="4DDB1474"/>
    <w:rsid w:val="54C144F3"/>
    <w:rsid w:val="575B7F87"/>
    <w:rsid w:val="7D7F8B65"/>
    <w:rsid w:val="7FFB0940"/>
    <w:rsid w:val="EBCCE133"/>
    <w:rsid w:val="FFB9CBA8"/>
    <w:rsid w:val="FFE1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210" w:after="210" w:line="20" w:lineRule="atLeas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42</TotalTime>
  <ScaleCrop>false</ScaleCrop>
  <LinksUpToDate>false</LinksUpToDate>
  <CharactersWithSpaces>432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2024-02-01T03:12:00Z</dcterms:created>
  <dc:creator>吳</dc:creator>
  <cp:lastModifiedBy>暮晖</cp:lastModifiedBy>
  <dcterms:modified xsi:type="dcterms:W3CDTF">2024-02-04T03:24:16Z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F87F266236BD57B7B104BB65DB8C6210</vt:lpwstr>
  </property>
</Properties>
</file>