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hint="eastAsia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882650</wp:posOffset>
            </wp:positionV>
            <wp:extent cx="5574665" cy="4180840"/>
            <wp:effectExtent l="0" t="0" r="6985" b="10160"/>
            <wp:wrapTight wrapText="bothSides">
              <wp:wrapPolygon>
                <wp:start x="0" y="0"/>
                <wp:lineTo x="0" y="21456"/>
                <wp:lineTo x="21553" y="21456"/>
                <wp:lineTo x="21553" y="0"/>
                <wp:lineTo x="0" y="0"/>
              </wp:wrapPolygon>
            </wp:wrapTight>
            <wp:docPr id="1026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IMG_25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4180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遂宁市市场监管局在“常”字上下功夫念好行风建设“紧箍咒”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自系统行风建设三年专项行动开展以来，遂宁市市场监管局坚持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在“常”字上下功夫念好行风建设“紧箍咒”</w:t>
      </w:r>
      <w:r>
        <w:rPr>
          <w:rFonts w:hint="eastAsia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spacing w:val="0"/>
          <w:sz w:val="32"/>
          <w:szCs w:val="32"/>
          <w:lang w:val="en-US" w:eastAsia="zh-CN"/>
        </w:rPr>
        <w:t>一是廉政教育常敲钟。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紧盯节假日等重要节点，通过手机短信、微信群、QQ工作群、钉钉群发送廉政提醒信息</w:t>
      </w:r>
      <w:r>
        <w:rPr>
          <w:rFonts w:hint="eastAsia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00余条次。组织干部职工集中观看廉政警示教育片《“企”途》《粮食！粮心！》，到大英监狱接受现场警示教育，撰写心得体会110余篇。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编印《全市市场监管系统违规违纪典型案例警示录》，梳理收录违纪违法典型案例18个，撰写读后感120余篇，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教育引导干部职工知敬畏、存戒惧、明底线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spacing w:val="0"/>
          <w:sz w:val="32"/>
          <w:szCs w:val="32"/>
          <w:lang w:val="en-US" w:eastAsia="zh-CN"/>
        </w:rPr>
        <w:t>二是廉政风险常提醒。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严把廉政风险关口，29个科室共梳理廉政风险点112个，为做实做细内部监督夯实基础。建立廉政风险防控预警机制，</w:t>
      </w:r>
      <w:r>
        <w:rPr>
          <w:rFonts w:hint="eastAsia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每半年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开展风险点“好中差”评估，做到防微杜渐。同时，结合巡察整改、省纪委正风肃纪督查以及群众来信来访、监督检查等渠道反映的苗头性倾向性问题实施重点谈话，做到抓早抓小。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spacing w:val="0"/>
          <w:sz w:val="32"/>
          <w:szCs w:val="32"/>
          <w:lang w:val="en-US" w:eastAsia="zh-CN"/>
        </w:rPr>
        <w:t>三是精准画像常自省。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自画像93种“不作为、慢作为、乱作为”被追责问责“负面清单”，督促干部职工对照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“对上级部署要求不推动”“对群众或企业投诉举报不及时受理”等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风险问题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时常自查自省。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行风建设问题清单、整改清单、责任清单“三张清单”，全局干部职工围绕“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行政审批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行政执法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”等17个方面自查问题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个，提出便民服务措施62个。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spacing w:val="0"/>
          <w:sz w:val="32"/>
          <w:szCs w:val="32"/>
          <w:lang w:val="en-US" w:eastAsia="zh-CN"/>
        </w:rPr>
        <w:t>四是执纪问责常震慑。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制定《内设机构行风建设负面清单追责问责制度》，明确被中央、省委、市委、被企业举报查实等8种追责问责情形。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成立行风暗访督查组，对行政审批、药品监管、特种设备监管等重点领域开展督查3次，发出纪律通报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起，追责问责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人次。记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代明</w:t>
      </w:r>
    </w:p>
    <w:bookmarkEnd w:id="0"/>
    <w:sectPr>
      <w:pgSz w:w="11906" w:h="16838"/>
      <w:pgMar w:top="187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 T 1 F 1o 0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autoRedefine/>
    <w:qFormat/>
    <w:uiPriority w:val="0"/>
    <w:pPr>
      <w:numPr>
        <w:ilvl w:val="0"/>
        <w:numId w:val="1"/>
      </w:numPr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 T 1 F 1o 00" w:hAnsi="Calibri" w:eastAsia="T T 1 F 1o 00" w:cs="T T 1 F 1o 00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700</Characters>
  <Paragraphs>6</Paragraphs>
  <TotalTime>4</TotalTime>
  <ScaleCrop>false</ScaleCrop>
  <LinksUpToDate>false</LinksUpToDate>
  <CharactersWithSpaces>700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2023-05-10T22:56:00Z</dcterms:created>
  <dc:creator>A</dc:creator>
  <cp:lastModifiedBy>暮晖</cp:lastModifiedBy>
  <dcterms:modified xsi:type="dcterms:W3CDTF">2024-02-08T04:26:45Z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0757A1CC901C4122BD607D205D64A82F_13</vt:lpwstr>
  </property>
</Properties>
</file>