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中宋" w:hAnsi="华文中宋" w:eastAsia="华文中宋" w:cs="华文中宋"/>
          <w:b/>
          <w:bCs/>
          <w:color w:val="C00000"/>
          <w:sz w:val="36"/>
          <w:szCs w:val="44"/>
        </w:rPr>
      </w:pP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b/>
          <w:bCs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C00000"/>
          <w:sz w:val="36"/>
          <w:szCs w:val="44"/>
        </w:rPr>
        <w:t>新经济形势下</w:t>
      </w: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b/>
          <w:bCs/>
          <w:color w:val="C00000"/>
          <w:sz w:val="36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C00000"/>
          <w:sz w:val="36"/>
          <w:szCs w:val="44"/>
        </w:rPr>
        <w:t>2024开局，如何规划资产配置？</w:t>
      </w:r>
    </w:p>
    <w:bookmarkEnd w:id="0"/>
    <w:p>
      <w:pPr>
        <w:spacing w:line="360" w:lineRule="auto"/>
        <w:rPr>
          <w:rFonts w:ascii="华文中宋" w:hAnsi="华文中宋" w:eastAsia="华文中宋" w:cs="华文中宋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全球经济合作与发展组织发布报告预测2024年世界经济将保持适度增长，增速放缓，通胀率进一步下降；亚洲地区尤其中国，在2024年至2025年仍然是世界经济增长的主要引擎。</w:t>
      </w:r>
      <w:r>
        <w:rPr>
          <w:rFonts w:hint="eastAsia" w:ascii="华文中宋" w:hAnsi="华文中宋" w:eastAsia="华文中宋" w:cs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与此同时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，国内经济回暖，释放积极货币政策信号。作为普通投资者，如何在当前经济形势下更合理配置个人财富，守住资产价值？</w:t>
      </w: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有学者认为近10年最具备持有价值的投资产品为黄金、不动产及优质公司股票。而黄金产品增值空间小，股票风险大；反观作为实体资产的不动产作为优质实体资产，价值恒定且能提供租金收入，优化投资者的利益。</w:t>
      </w: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写字楼作为不动产中价格相对稳定，价值较高且投资风险较小的资产，被有经验的投资者们认为是值得持有的长效资产，或能实现2024年第一波投资的良好开局。</w:t>
      </w: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以上信息来源：</w:t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fldChar w:fldCharType="begin"/>
      </w:r>
      <w:r>
        <w:instrText xml:space="preserve"> HYPERLINK "https://mp.weixin.qq.com/s/xv9gK6ubUruvjblZCyyClg" </w:instrText>
      </w:r>
      <w:r>
        <w:fldChar w:fldCharType="separate"/>
      </w: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https://mp.weixin.qq.com/s/xv9gK6ubUruvjblZCyyClg</w:t>
      </w: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https://mp.weixin.qq.com/s/0RHz-wllwXTfxJBZcciz6Q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在向上势能的城市</w:t>
      </w: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挖掘优质投资机遇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1F4E79" w:themeColor="accent1" w:themeShade="80"/>
        </w:rPr>
      </w:pP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1F4E79" w:themeColor="accent1" w:themeShade="80"/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写字楼投资的底层逻辑仍然是城市价值。选择一个具备商业活力及向上发展的城市，是投资价值及投资潜力的双向持有。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而成都近两年发展迅速，已成为当下商业潜力及商业投资价值的“新一线”城市。成都2023年前三季度城市GDP实现16114.3亿元，同比增长6.7%，增速位列万亿级城市中第一。2023年全年GDP超2.2万亿，同比增长6%；消费活力明显复苏。而在成渝城市经济群发展作用下，2023年成都优化调整8个产业生态圈、28条重点产业链，规模以上工业增加值比上年增长4.1%，城市经济持续向好。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成都稳步向上的发展态势，和房地产市场发展形成良性互动，推动成都房地产市场持续向好的同时，也为写字楼市场及写字楼投资奠定了坚实基础。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  <w:highlight w:val="none"/>
        </w:rPr>
        <w:drawing>
          <wp:inline distT="0" distB="0" distL="114300" distR="114300">
            <wp:extent cx="2592705" cy="2061210"/>
            <wp:effectExtent l="0" t="0" r="17145" b="1524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2023年前三季度万亿级城市GDP增速，图片来源，</w:t>
      </w: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《中国新闻周刊》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以上信息来源：</w:t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https://mp.weixin.qq.com/s/6BuEUWu5cFMScX8LmV72Jw</w:t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https://mp.weixin.qq.com/s/6gFp-kUIUJCTgtx8CzbOGA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百年运营者</w:t>
      </w: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以远见和卓识为</w:t>
      </w:r>
      <w:r>
        <w:rPr>
          <w:rFonts w:hint="eastAsia" w:ascii="华文中宋" w:hAnsi="华文中宋" w:eastAsia="华文中宋" w:cs="华文中宋"/>
          <w:color w:val="C00000"/>
          <w:sz w:val="36"/>
          <w:szCs w:val="44"/>
          <w:lang w:val="en-US" w:eastAsia="zh-CN"/>
        </w:rPr>
        <w:t>城市</w:t>
      </w: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注入长效价值</w:t>
      </w: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写字楼投资的第二层逻辑则是背靠强大的品牌赋能。只有做到长期发展、优质运营的公司，才能经得起时间的锤炼，打造能抵御经济浮动的优质资产。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香港置地正是这样一家企业，以长期主义的可持续经营理念，穿越百年周期，将品牌经验融合在地文化，为城市及区域市场带来能穿越经济周期的坐标级作品。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自1889年起，以推动香港填海造陆工程为契机，香港置地启幕对香港中环的持续开拓与深耕开发。历经135年的长期发展，香港置地以约45万方优质物业，成为香港核心金融区最大业主之一，旗下中环十二峰，构成中环核心金融地带，激活香港繁荣发展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  <w:highlight w:val="none"/>
        </w:rPr>
        <w:drawing>
          <wp:inline distT="0" distB="0" distL="114300" distR="114300">
            <wp:extent cx="3035300" cy="1939290"/>
            <wp:effectExtent l="0" t="0" r="12700" b="3810"/>
            <wp:docPr id="2" name="图片 2" descr="01香港中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香港中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香港中环十二峰 实拍图</w:t>
      </w: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同时，香港置地也一直秉持与城市共行发展的理念，为城市带来迭代的商务作品，不断更新城市的商业场景及商务生态。先后打造包括香港中环、新加坡滨海湾、上海西岸金融城</w:t>
      </w:r>
      <w:r>
        <w:rPr>
          <w:rFonts w:hint="eastAsia" w:ascii="华文中宋" w:hAnsi="华文中宋" w:eastAsia="华文中宋" w:cs="华文中宋"/>
          <w:sz w:val="16"/>
          <w:szCs w:val="20"/>
        </w:rPr>
        <w:t>（在建中）</w:t>
      </w:r>
      <w:r>
        <w:rPr>
          <w:rFonts w:hint="eastAsia" w:ascii="华文中宋" w:hAnsi="华文中宋" w:eastAsia="华文中宋" w:cs="华文中宋"/>
        </w:rPr>
        <w:t>在内的全球三大CBD，持续助力</w:t>
      </w:r>
      <w:r>
        <w:rPr>
          <w:rFonts w:hint="eastAsia" w:ascii="华文中宋" w:hAnsi="华文中宋" w:eastAsia="华文中宋" w:cs="华文中宋"/>
          <w:lang w:val="en-US" w:eastAsia="zh-CN"/>
        </w:rPr>
        <w:t>城市</w:t>
      </w:r>
      <w:r>
        <w:rPr>
          <w:rFonts w:hint="eastAsia" w:ascii="华文中宋" w:hAnsi="华文中宋" w:eastAsia="华文中宋" w:cs="华文中宋"/>
        </w:rPr>
        <w:t>发展。</w:t>
      </w:r>
    </w:p>
    <w:p>
      <w:pPr>
        <w:tabs>
          <w:tab w:val="left" w:pos="312"/>
        </w:tabs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  <w:highlight w:val="none"/>
        </w:rPr>
        <w:drawing>
          <wp:inline distT="0" distB="0" distL="114300" distR="114300">
            <wp:extent cx="2842895" cy="1736725"/>
            <wp:effectExtent l="0" t="0" r="14605" b="15875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上海西岸金融城（在建中） 意境图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3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135年来，香港置地始终以全球化眼界及卓识，为城市及区域带来不可或缺的商业及商务坐标，亦为其注入不可替代的长效价值，有效确保资产可持有性，为投资者带来优质的商务投资产品。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b/>
          <w:bCs/>
          <w:color w:val="C00000"/>
          <w:sz w:val="28"/>
          <w:szCs w:val="36"/>
        </w:rPr>
      </w:pP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于城市</w:t>
      </w:r>
      <w:r>
        <w:rPr>
          <w:rFonts w:hint="eastAsia" w:ascii="华文中宋" w:hAnsi="华文中宋" w:eastAsia="华文中宋" w:cs="华文中宋"/>
          <w:color w:val="C00000"/>
          <w:sz w:val="36"/>
          <w:szCs w:val="44"/>
          <w:lang w:val="en-US" w:eastAsia="zh-CN"/>
        </w:rPr>
        <w:t>核心</w:t>
      </w: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CBD</w:t>
      </w:r>
    </w:p>
    <w:p>
      <w:pPr>
        <w:tabs>
          <w:tab w:val="left" w:pos="312"/>
        </w:tabs>
        <w:spacing w:line="360" w:lineRule="auto"/>
        <w:jc w:val="center"/>
        <w:rPr>
          <w:rFonts w:ascii="华文中宋" w:hAnsi="华文中宋" w:eastAsia="华文中宋" w:cs="华文中宋"/>
          <w:color w:val="C00000"/>
          <w:sz w:val="36"/>
          <w:szCs w:val="44"/>
        </w:rPr>
      </w:pPr>
      <w:r>
        <w:rPr>
          <w:rFonts w:hint="eastAsia" w:ascii="华文中宋" w:hAnsi="华文中宋" w:eastAsia="华文中宋" w:cs="华文中宋"/>
          <w:color w:val="C00000"/>
          <w:sz w:val="36"/>
          <w:szCs w:val="44"/>
        </w:rPr>
        <w:t>焕新商业场景 再启优质长效资产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正因拥有百年运营经验及前瞻发展机遇的眼光，香港置地择址成都城市重要节点——攀成钢CBD</w:t>
      </w:r>
      <w:r>
        <w:rPr>
          <w:rFonts w:hint="eastAsia" w:ascii="华文中宋" w:hAnsi="华文中宋" w:eastAsia="华文中宋" w:cs="华文中宋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（现锦东商圈）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，打造成都光环。以成都的地域及历史特征为灵感，由Benoy【贝诺】、LWK【梁黄顾】及Woods Bagot【伍兹贝格】三家极富创意的全球知名建筑设计公司核心团队执笔，打造具备巴蜀文化特色的“山</w:t>
      </w:r>
      <w:r>
        <w:rPr>
          <w:rFonts w:hint="eastAsia" w:ascii="华文中宋" w:hAnsi="华文中宋" w:eastAsia="华文中宋" w:cs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光”元素的特色购物空间，构建自然+生活场景，为成都带来不一样的消费体验。同时项目引进五星级凯悦尚萃酒店</w:t>
      </w:r>
      <w:r>
        <w:rPr>
          <w:rFonts w:hint="eastAsia" w:ascii="华文中宋" w:hAnsi="华文中宋" w:eastAsia="华文中宋" w:cs="华文中宋"/>
          <w:color w:val="000000" w:themeColor="text1"/>
          <w:sz w:val="16"/>
          <w:szCs w:val="2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中宋" w:hAnsi="华文中宋" w:eastAsia="华文中宋" w:cs="华文中宋"/>
          <w:color w:val="000000" w:themeColor="text1"/>
          <w:sz w:val="16"/>
          <w:szCs w:val="20"/>
          <w:lang w:val="en-US" w:eastAsia="zh-CN"/>
          <w14:textFill>
            <w14:solidFill>
              <w14:schemeClr w14:val="tx1"/>
            </w14:solidFill>
          </w14:textFill>
        </w:rPr>
        <w:t>在建中</w:t>
      </w:r>
      <w:r>
        <w:rPr>
          <w:rFonts w:hint="eastAsia" w:ascii="华文中宋" w:hAnsi="华文中宋" w:eastAsia="华文中宋" w:cs="华文中宋"/>
          <w:color w:val="000000" w:themeColor="text1"/>
          <w:sz w:val="16"/>
          <w:szCs w:val="2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，升维区域消费、商务、差旅场景。</w:t>
      </w:r>
    </w:p>
    <w:p>
      <w:pPr>
        <w:spacing w:line="360" w:lineRule="auto"/>
        <w:rPr>
          <w:rFonts w:ascii="华文中宋" w:hAnsi="华文中宋" w:eastAsia="华文中宋"/>
          <w:sz w:val="24"/>
          <w:szCs w:val="28"/>
        </w:rPr>
      </w:pPr>
      <w:r>
        <w:rPr>
          <w:rFonts w:ascii="华文中宋" w:hAnsi="华文中宋" w:eastAsia="华文中宋"/>
          <w:sz w:val="24"/>
          <w:szCs w:val="28"/>
          <w:highlight w:val="none"/>
        </w:rPr>
        <w:drawing>
          <wp:inline distT="0" distB="0" distL="0" distR="0">
            <wp:extent cx="2850515" cy="2318385"/>
            <wp:effectExtent l="0" t="0" r="698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line="360" w:lineRule="auto"/>
        <w:ind w:firstLine="0" w:firstLineChars="0"/>
        <w:jc w:val="left"/>
        <w:rPr>
          <w:rFonts w:ascii="华文中宋" w:hAnsi="华文中宋" w:eastAsia="华文中宋"/>
          <w:sz w:val="24"/>
          <w:szCs w:val="28"/>
        </w:rPr>
      </w:pPr>
      <w:r>
        <w:rPr>
          <w:rFonts w:hint="eastAsia" w:ascii="华文中宋" w:hAnsi="华文中宋" w:eastAsia="华文中宋" w:cs="华文中宋"/>
          <w:color w:val="808080" w:themeColor="text1" w:themeTint="80"/>
          <w:sz w:val="18"/>
          <w:szCs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成都光环 意境图</w:t>
      </w: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成都光环中心，作为光环购物公园的上盖可售写字楼，占据</w:t>
      </w:r>
      <w:r>
        <w:rPr>
          <w:rFonts w:hint="eastAsia" w:ascii="华文中宋" w:hAnsi="华文中宋" w:eastAsia="华文中宋" w:cs="华文中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稀缺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华文中宋" w:hAnsi="华文中宋" w:eastAsia="华文中宋" w:cs="华文中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地段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、拥有由2/8号线双地铁及二环路/东大路黄金十字路口构建的立体交通体系，以其优质的项目产品价值基底，备受市场投资者追捧。2023年光环中心更是在成都主城写字楼市场销售面积、销售金额、销售套数三榜中名列前茅（</w:t>
      </w:r>
      <w:r>
        <w:rPr>
          <w:rFonts w:hint="eastAsia" w:ascii="华文中宋" w:hAnsi="华文中宋" w:eastAsia="华文中宋" w:cs="华文中宋"/>
          <w:sz w:val="18"/>
          <w:szCs w:val="21"/>
        </w:rPr>
        <w:t>数据来源，成都房联认购端口，数据截至2023年12月31日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），项目实力及资产优质性持续获得市场认可。</w:t>
      </w: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细数光环中心能够一路业绩飘红、实现销售佳绩的原因，除了城市价值与品牌价值背书，也得益于项目自身的优质价值条件。</w:t>
      </w: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站位城市核心CBD</w:t>
      </w:r>
      <w:r>
        <w:rPr>
          <w:rFonts w:hint="eastAsia" w:ascii="华文中宋" w:hAnsi="华文中宋" w:eastAsia="华文中宋" w:cs="华文中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之一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——攀成钢</w:t>
      </w:r>
      <w:r>
        <w:rPr>
          <w:rFonts w:hint="eastAsia" w:ascii="华文中宋" w:hAnsi="华文中宋" w:eastAsia="华文中宋" w:cs="华文中宋"/>
          <w:sz w:val="18"/>
          <w:szCs w:val="21"/>
        </w:rPr>
        <w:t>（现锦东商圈），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磁聚城市资源，汇入高端商务人群，坐拥往来商业机遇；同时项目连同光环购物公园</w:t>
      </w:r>
      <w:r>
        <w:rPr>
          <w:rFonts w:hint="eastAsia" w:ascii="华文中宋" w:hAnsi="华文中宋" w:eastAsia="华文中宋" w:cs="华文中宋"/>
          <w:sz w:val="18"/>
          <w:szCs w:val="21"/>
          <w:lang w:eastAsia="zh-CN"/>
        </w:rPr>
        <w:t>（</w:t>
      </w:r>
      <w:r>
        <w:rPr>
          <w:rFonts w:hint="eastAsia" w:ascii="华文中宋" w:hAnsi="华文中宋" w:eastAsia="华文中宋" w:cs="华文中宋"/>
          <w:sz w:val="18"/>
          <w:szCs w:val="21"/>
          <w:lang w:val="en-US" w:eastAsia="zh-CN"/>
        </w:rPr>
        <w:t>在建中</w:t>
      </w:r>
      <w:r>
        <w:rPr>
          <w:rFonts w:hint="eastAsia" w:ascii="华文中宋" w:hAnsi="华文中宋" w:eastAsia="华文中宋" w:cs="华文中宋"/>
          <w:sz w:val="18"/>
          <w:szCs w:val="21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及五星级凯悦尚萃酒店</w:t>
      </w:r>
      <w:r>
        <w:rPr>
          <w:rFonts w:hint="eastAsia" w:ascii="华文中宋" w:hAnsi="华文中宋" w:eastAsia="华文中宋" w:cs="华文中宋"/>
          <w:sz w:val="18"/>
          <w:szCs w:val="21"/>
          <w:lang w:eastAsia="zh-CN"/>
        </w:rPr>
        <w:t>（</w:t>
      </w:r>
      <w:r>
        <w:rPr>
          <w:rFonts w:hint="eastAsia" w:ascii="华文中宋" w:hAnsi="华文中宋" w:eastAsia="华文中宋" w:cs="华文中宋"/>
          <w:sz w:val="18"/>
          <w:lang w:val="en-US" w:eastAsia="zh-CN"/>
        </w:rPr>
        <w:t>在建中</w:t>
      </w:r>
      <w:r>
        <w:rPr>
          <w:rFonts w:hint="eastAsia" w:ascii="华文中宋" w:hAnsi="华文中宋" w:eastAsia="华文中宋" w:cs="华文中宋"/>
          <w:sz w:val="18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，构建“商务+酒店</w:t>
      </w:r>
      <w:r>
        <w:rPr>
          <w:rFonts w:hint="eastAsia" w:ascii="华文中宋" w:hAnsi="华文中宋" w:eastAsia="华文中宋" w:cs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商务+购物</w:t>
      </w:r>
      <w:r>
        <w:rPr>
          <w:rFonts w:hint="eastAsia" w:ascii="华文中宋" w:hAnsi="华文中宋" w:eastAsia="华文中宋" w:cs="华文中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商务+社交”等多元商务场景，迭新城市商务功能，以可长效持有的资产产品力，不断给予城市新的期待。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130550" cy="1664970"/>
            <wp:effectExtent l="0" t="0" r="12700" b="11430"/>
            <wp:docPr id="11" name="图片 11" descr="de15c210fc742602b3eb8a782310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e15c210fc742602b3eb8a782310ea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2024年成都光环中心再启新程，以建面约156-2140㎡的总部写字楼，现房发售中，持续为市场带来不可多得的优质资产，作为更值得持有的长效资产，势必成为2024新的投资潮向，在投资者圈层中再续热绩。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擎启 城市</w:t>
      </w:r>
      <w:r>
        <w:rPr>
          <w:rFonts w:hint="eastAsia" w:ascii="华文中宋" w:hAnsi="华文中宋" w:eastAsia="华文中宋" w:cs="华文中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核心</w:t>
      </w: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CBD商务榜样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 xml:space="preserve">光环中心 全球灯塔级商务资产 现房发售 </w:t>
      </w:r>
    </w:p>
    <w:p>
      <w:pPr>
        <w:tabs>
          <w:tab w:val="left" w:pos="312"/>
        </w:tabs>
        <w:spacing w:line="360" w:lineRule="auto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  <w:t>详询：028-8593 6666</w:t>
      </w:r>
    </w:p>
    <w:p>
      <w:pPr>
        <w:tabs>
          <w:tab w:val="left" w:pos="312"/>
        </w:tabs>
        <w:spacing w:line="360" w:lineRule="auto"/>
        <w:rPr>
          <w:rFonts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cs="华文中宋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06190" cy="1903095"/>
            <wp:effectExtent l="0" t="0" r="3810" b="1905"/>
            <wp:docPr id="5" name="图片 5" descr="c5d40e1c2f7e0f553a8741b4a67f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d40e1c2f7e0f553a8741b4a67f3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ind w:firstLine="420" w:firstLineChars="200"/>
        <w:rPr>
          <w:rFonts w:ascii="华文中宋" w:hAnsi="华文中宋" w:eastAsia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F26E6C"/>
    <w:rsid w:val="000B28E7"/>
    <w:rsid w:val="000C4630"/>
    <w:rsid w:val="00194A4B"/>
    <w:rsid w:val="001B3268"/>
    <w:rsid w:val="001D75C8"/>
    <w:rsid w:val="00200252"/>
    <w:rsid w:val="00281A1C"/>
    <w:rsid w:val="002B3487"/>
    <w:rsid w:val="002C1AC4"/>
    <w:rsid w:val="002D6AF5"/>
    <w:rsid w:val="00310394"/>
    <w:rsid w:val="003E2D1B"/>
    <w:rsid w:val="00410071"/>
    <w:rsid w:val="004724EF"/>
    <w:rsid w:val="00481F91"/>
    <w:rsid w:val="005160D1"/>
    <w:rsid w:val="00593B60"/>
    <w:rsid w:val="00624050"/>
    <w:rsid w:val="00626D63"/>
    <w:rsid w:val="00681BE2"/>
    <w:rsid w:val="006B4D1A"/>
    <w:rsid w:val="006E3D1C"/>
    <w:rsid w:val="00722523"/>
    <w:rsid w:val="007A5857"/>
    <w:rsid w:val="007D5322"/>
    <w:rsid w:val="008562DB"/>
    <w:rsid w:val="008A1882"/>
    <w:rsid w:val="008C656E"/>
    <w:rsid w:val="00A475BA"/>
    <w:rsid w:val="00A61E17"/>
    <w:rsid w:val="00A65859"/>
    <w:rsid w:val="00AA2FF8"/>
    <w:rsid w:val="00AB2DC5"/>
    <w:rsid w:val="00B36CD1"/>
    <w:rsid w:val="00B428DE"/>
    <w:rsid w:val="00C2598D"/>
    <w:rsid w:val="00CE534B"/>
    <w:rsid w:val="00D65897"/>
    <w:rsid w:val="00E05822"/>
    <w:rsid w:val="00E52CDB"/>
    <w:rsid w:val="00E9004E"/>
    <w:rsid w:val="00ED4EAA"/>
    <w:rsid w:val="00F26E6C"/>
    <w:rsid w:val="00F40721"/>
    <w:rsid w:val="00F80D1A"/>
    <w:rsid w:val="00F92280"/>
    <w:rsid w:val="010D1AC6"/>
    <w:rsid w:val="01BA2ADB"/>
    <w:rsid w:val="03912F41"/>
    <w:rsid w:val="04702B56"/>
    <w:rsid w:val="06A06291"/>
    <w:rsid w:val="0A953A77"/>
    <w:rsid w:val="0B3C5B1E"/>
    <w:rsid w:val="0BA63302"/>
    <w:rsid w:val="0C857E23"/>
    <w:rsid w:val="0C894CA6"/>
    <w:rsid w:val="0D763030"/>
    <w:rsid w:val="0D961094"/>
    <w:rsid w:val="0EAA3109"/>
    <w:rsid w:val="0FF56606"/>
    <w:rsid w:val="116F40D7"/>
    <w:rsid w:val="11B12A00"/>
    <w:rsid w:val="139364DD"/>
    <w:rsid w:val="139B74C4"/>
    <w:rsid w:val="147C4417"/>
    <w:rsid w:val="14BF4C65"/>
    <w:rsid w:val="154620C4"/>
    <w:rsid w:val="16050CEC"/>
    <w:rsid w:val="17722935"/>
    <w:rsid w:val="18235E31"/>
    <w:rsid w:val="189F7B1F"/>
    <w:rsid w:val="1A623F06"/>
    <w:rsid w:val="1BE02B23"/>
    <w:rsid w:val="1C4F08A5"/>
    <w:rsid w:val="1CD53A60"/>
    <w:rsid w:val="1CFE23A9"/>
    <w:rsid w:val="245C6C2A"/>
    <w:rsid w:val="250F1A33"/>
    <w:rsid w:val="254F010E"/>
    <w:rsid w:val="26063C58"/>
    <w:rsid w:val="26A34BB6"/>
    <w:rsid w:val="26BB3CAD"/>
    <w:rsid w:val="26F176CF"/>
    <w:rsid w:val="27C052F3"/>
    <w:rsid w:val="27CC5D4D"/>
    <w:rsid w:val="2A0471AA"/>
    <w:rsid w:val="2C5F3D95"/>
    <w:rsid w:val="2D0B7011"/>
    <w:rsid w:val="2E8B047A"/>
    <w:rsid w:val="2FE654EF"/>
    <w:rsid w:val="30E36586"/>
    <w:rsid w:val="32095EE6"/>
    <w:rsid w:val="32451FA3"/>
    <w:rsid w:val="337852A4"/>
    <w:rsid w:val="341744ED"/>
    <w:rsid w:val="35BA15D4"/>
    <w:rsid w:val="3742544C"/>
    <w:rsid w:val="37BB0A52"/>
    <w:rsid w:val="38BB5D8F"/>
    <w:rsid w:val="39311764"/>
    <w:rsid w:val="39987CE7"/>
    <w:rsid w:val="3AE57BAC"/>
    <w:rsid w:val="3B1651B9"/>
    <w:rsid w:val="40955117"/>
    <w:rsid w:val="4376242B"/>
    <w:rsid w:val="43C63547"/>
    <w:rsid w:val="443F7480"/>
    <w:rsid w:val="466A0453"/>
    <w:rsid w:val="46F368A1"/>
    <w:rsid w:val="48853CC3"/>
    <w:rsid w:val="49444E38"/>
    <w:rsid w:val="49755AE6"/>
    <w:rsid w:val="49843F7B"/>
    <w:rsid w:val="4A995073"/>
    <w:rsid w:val="4ACC68A4"/>
    <w:rsid w:val="4B4B11F4"/>
    <w:rsid w:val="4C065F5C"/>
    <w:rsid w:val="4C6C0A82"/>
    <w:rsid w:val="4EEF4561"/>
    <w:rsid w:val="4F6124FC"/>
    <w:rsid w:val="4FDE5BC3"/>
    <w:rsid w:val="519A448E"/>
    <w:rsid w:val="580B271C"/>
    <w:rsid w:val="5866141B"/>
    <w:rsid w:val="59787F6C"/>
    <w:rsid w:val="59B03FF9"/>
    <w:rsid w:val="5B583BEB"/>
    <w:rsid w:val="5C451DAA"/>
    <w:rsid w:val="5CC10BB9"/>
    <w:rsid w:val="5E9A73AB"/>
    <w:rsid w:val="5F085861"/>
    <w:rsid w:val="62157A0E"/>
    <w:rsid w:val="666B40A1"/>
    <w:rsid w:val="66C3705B"/>
    <w:rsid w:val="672856E3"/>
    <w:rsid w:val="68183DB4"/>
    <w:rsid w:val="69E046E2"/>
    <w:rsid w:val="6B107DB3"/>
    <w:rsid w:val="6C5C2A94"/>
    <w:rsid w:val="6E4678CD"/>
    <w:rsid w:val="6E9C573F"/>
    <w:rsid w:val="6F2D283B"/>
    <w:rsid w:val="6F926B42"/>
    <w:rsid w:val="71121101"/>
    <w:rsid w:val="71AB5F53"/>
    <w:rsid w:val="750422E5"/>
    <w:rsid w:val="754D6753"/>
    <w:rsid w:val="75656DE5"/>
    <w:rsid w:val="75907680"/>
    <w:rsid w:val="76E40C6E"/>
    <w:rsid w:val="7A5060B2"/>
    <w:rsid w:val="7D2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0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  <w:pPrChange w:id="0" w:author="张晟铭" w:date="2024-02-23T14:42:00Z">
        <w:pPr>
          <w:widowControl w:val="0"/>
        </w:pPr>
      </w:pPrChange>
    </w:pPr>
    <w:rPr>
      <w:rPrChange w:id="1" w:author="张晟铭" w:date="2024-02-23T14:42:00Z"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rPrChange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link w:val="16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Revision"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文字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1849</Words>
  <Characters>2157</Characters>
  <Lines>16</Lines>
  <Paragraphs>4</Paragraphs>
  <TotalTime>0</TotalTime>
  <ScaleCrop>false</ScaleCrop>
  <LinksUpToDate>false</LinksUpToDate>
  <CharactersWithSpaces>2168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2024-01-25T14:39:00Z</dcterms:created>
  <dc:creator>Administrator</dc:creator>
  <cp:lastModifiedBy>暮晖</cp:lastModifiedBy>
  <dcterms:modified xsi:type="dcterms:W3CDTF">2024-02-26T06:43:33Z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A126AB9F0A1F4F8DAC5E46A163C81546_13</vt:lpwstr>
  </property>
</Properties>
</file>