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53" w:firstLineChars="250"/>
        <w:jc w:val="center"/>
        <w:rPr>
          <w:rFonts w:hint="eastAsia" w:ascii="黑体" w:eastAsia="黑体" w:hAnsiTheme="minorHAnsi" w:cstheme="minorBidi"/>
          <w:b/>
          <w:sz w:val="30"/>
          <w:szCs w:val="30"/>
          <w:lang w:val="en-US" w:eastAsia="zh-CN"/>
        </w:rPr>
      </w:pPr>
      <w:r>
        <w:rPr>
          <w:rFonts w:hint="eastAsia" w:ascii="黑体" w:eastAsia="黑体" w:hAnsiTheme="minorHAnsi" w:cstheme="minorBidi"/>
          <w:b/>
          <w:sz w:val="30"/>
          <w:szCs w:val="30"/>
        </w:rPr>
        <w:t xml:space="preserve">游商花式宣传坑老 </w:t>
      </w:r>
      <w:r>
        <w:rPr>
          <w:rFonts w:hint="eastAsia" w:ascii="黑体" w:eastAsia="黑体" w:hAnsiTheme="minorHAnsi" w:cstheme="minorBidi"/>
          <w:b/>
          <w:sz w:val="30"/>
          <w:szCs w:val="30"/>
          <w:lang w:val="en-US" w:eastAsia="zh-CN"/>
        </w:rPr>
        <w:t xml:space="preserve"> 退款！</w:t>
      </w:r>
      <w:bookmarkStart w:id="0" w:name="_GoBack"/>
      <w:bookmarkEnd w:id="0"/>
    </w:p>
    <w:p>
      <w:pPr>
        <w:ind w:firstLine="753" w:firstLineChars="250"/>
        <w:jc w:val="center"/>
        <w:rPr>
          <w:rFonts w:hint="eastAsia" w:ascii="仿宋_GB2312" w:hAnsi="宋体" w:eastAsia="仿宋_GB2312" w:cs="宋体"/>
          <w:sz w:val="30"/>
          <w:szCs w:val="30"/>
          <w:lang w:val="en-US" w:eastAsia="zh-CN"/>
        </w:rPr>
      </w:pPr>
      <w:r>
        <w:rPr>
          <w:rFonts w:hint="eastAsia" w:ascii="黑体" w:eastAsia="黑体" w:hAnsiTheme="minorHAnsi" w:cstheme="minorBidi"/>
          <w:b/>
          <w:sz w:val="30"/>
          <w:szCs w:val="30"/>
          <w:lang w:val="en-US" w:eastAsia="zh-CN"/>
        </w:rPr>
        <w:t>点评人：</w:t>
      </w:r>
      <w:r>
        <w:rPr>
          <w:rFonts w:hint="eastAsia" w:ascii="仿宋_GB2312" w:hAnsi="宋体" w:eastAsia="仿宋_GB2312" w:cs="宋体"/>
          <w:sz w:val="30"/>
          <w:szCs w:val="30"/>
          <w:lang w:val="en-US" w:eastAsia="zh-CN"/>
        </w:rPr>
        <w:t xml:space="preserve">通江县市场监管局消保股 侯晓红 </w:t>
      </w:r>
    </w:p>
    <w:p>
      <w:pPr>
        <w:bidi w:val="0"/>
        <w:jc w:val="center"/>
        <w:rPr>
          <w:rFonts w:hint="eastAsia"/>
          <w:b w:val="0"/>
          <w:bCs w:val="0"/>
          <w:sz w:val="24"/>
          <w:szCs w:val="24"/>
          <w:lang w:val="en-US" w:eastAsia="zh-CN"/>
        </w:rPr>
      </w:pPr>
      <w:r>
        <w:rPr>
          <w:rFonts w:hint="eastAsia"/>
          <w:b w:val="0"/>
          <w:bCs w:val="0"/>
          <w:sz w:val="24"/>
          <w:szCs w:val="24"/>
          <w:lang w:val="en-US" w:eastAsia="zh-CN"/>
        </w:rPr>
        <w:drawing>
          <wp:inline distT="0" distB="0" distL="114300" distR="114300">
            <wp:extent cx="2537460" cy="3168650"/>
            <wp:effectExtent l="0" t="0" r="15240" b="12700"/>
            <wp:docPr id="1" name="图片 1" descr="53ae4a21a622b4d74f1256893d7ce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ae4a21a622b4d74f1256893d7cea3"/>
                    <pic:cNvPicPr>
                      <a:picLocks noChangeAspect="1"/>
                    </pic:cNvPicPr>
                  </pic:nvPicPr>
                  <pic:blipFill>
                    <a:blip r:embed="rId4"/>
                    <a:stretch>
                      <a:fillRect/>
                    </a:stretch>
                  </pic:blipFill>
                  <pic:spPr>
                    <a:xfrm>
                      <a:off x="0" y="0"/>
                      <a:ext cx="2537460" cy="3168650"/>
                    </a:xfrm>
                    <a:prstGeom prst="rect">
                      <a:avLst/>
                    </a:prstGeom>
                  </pic:spPr>
                </pic:pic>
              </a:graphicData>
            </a:graphic>
          </wp:inline>
        </w:drawing>
      </w:r>
    </w:p>
    <w:p>
      <w:pPr>
        <w:ind w:firstLine="750" w:firstLineChars="250"/>
        <w:jc w:val="center"/>
        <w:rPr>
          <w:rFonts w:hint="eastAsia" w:ascii="仿宋_GB2312" w:hAnsi="宋体" w:eastAsia="仿宋_GB2312" w:cs="宋体"/>
          <w:sz w:val="30"/>
          <w:szCs w:val="30"/>
          <w:lang w:val="en-US" w:eastAsia="zh-CN"/>
        </w:rPr>
      </w:pPr>
    </w:p>
    <w:p>
      <w:pPr>
        <w:ind w:firstLine="602" w:firstLineChars="200"/>
        <w:rPr>
          <w:rFonts w:hint="eastAsia" w:ascii="仿宋_GB2312" w:eastAsia="仿宋_GB2312" w:hAnsiTheme="minorHAnsi" w:cstheme="minorBidi"/>
          <w:b/>
          <w:bCs/>
          <w:sz w:val="30"/>
          <w:szCs w:val="30"/>
          <w:lang w:val="en-US" w:eastAsia="zh-CN"/>
        </w:rPr>
      </w:pPr>
      <w:r>
        <w:rPr>
          <w:rFonts w:hint="eastAsia" w:ascii="仿宋_GB2312" w:eastAsia="仿宋_GB2312" w:hAnsiTheme="minorHAnsi" w:cstheme="minorBidi"/>
          <w:b/>
          <w:bCs/>
          <w:sz w:val="30"/>
          <w:szCs w:val="30"/>
          <w:lang w:val="en-US" w:eastAsia="zh-CN"/>
        </w:rPr>
        <w:t>案例</w:t>
      </w:r>
    </w:p>
    <w:p>
      <w:pPr>
        <w:ind w:firstLine="600" w:firstLineChars="200"/>
        <w:rPr>
          <w:rFonts w:hint="default" w:ascii="仿宋_GB2312" w:eastAsia="仿宋_GB2312" w:hAnsiTheme="minorHAnsi" w:cstheme="minorBidi"/>
          <w:sz w:val="30"/>
          <w:szCs w:val="30"/>
          <w:lang w:val="en-US" w:eastAsia="zh-CN"/>
        </w:rPr>
      </w:pPr>
      <w:r>
        <w:rPr>
          <w:rFonts w:hint="default" w:ascii="仿宋_GB2312" w:eastAsia="仿宋_GB2312" w:hAnsiTheme="minorHAnsi" w:cstheme="minorBidi"/>
          <w:sz w:val="30"/>
          <w:szCs w:val="30"/>
          <w:lang w:val="en-US" w:eastAsia="zh-CN"/>
        </w:rPr>
        <w:t>2023年7月12日，通江县保护消费者权益委员会沙溪分会（下称沙溪分会）接到团鱼坝村20余名村民的现场投诉，称2023年7月3日有一群流动商贩在村中售卖家电、净水器等商品，并可以凭购买记录领取预订卡一折购买玛卡，多位老人购买后发现购买商品有质量问题，价格也比市场上更贵，购买的玛卡也并没有达到宣传中治疗疾病的效果，</w:t>
      </w:r>
      <w:r>
        <w:rPr>
          <w:rFonts w:hint="eastAsia" w:ascii="仿宋_GB2312" w:eastAsia="仿宋_GB2312" w:hAnsiTheme="minorHAnsi" w:cstheme="minorBidi"/>
          <w:sz w:val="30"/>
          <w:szCs w:val="30"/>
          <w:lang w:val="en-US" w:eastAsia="zh-CN"/>
        </w:rPr>
        <w:t>且</w:t>
      </w:r>
      <w:r>
        <w:rPr>
          <w:rFonts w:hint="default" w:ascii="仿宋_GB2312" w:eastAsia="仿宋_GB2312" w:hAnsiTheme="minorHAnsi" w:cstheme="minorBidi"/>
          <w:sz w:val="30"/>
          <w:szCs w:val="30"/>
          <w:lang w:val="en-US" w:eastAsia="zh-CN"/>
        </w:rPr>
        <w:t>商贩早已离开销售地点。</w:t>
      </w:r>
    </w:p>
    <w:p>
      <w:pPr>
        <w:ind w:firstLine="600" w:firstLineChars="200"/>
        <w:rPr>
          <w:rFonts w:hint="default" w:ascii="仿宋_GB2312" w:eastAsia="仿宋_GB2312" w:hAnsiTheme="minorHAnsi" w:cstheme="minorBidi"/>
          <w:sz w:val="30"/>
          <w:szCs w:val="30"/>
          <w:lang w:val="en-US" w:eastAsia="zh-CN"/>
        </w:rPr>
      </w:pPr>
      <w:r>
        <w:rPr>
          <w:rFonts w:hint="eastAsia" w:ascii="仿宋_GB2312" w:eastAsia="仿宋_GB2312" w:hAnsiTheme="minorHAnsi" w:cstheme="minorBidi"/>
          <w:sz w:val="30"/>
          <w:szCs w:val="30"/>
          <w:lang w:val="en-US" w:eastAsia="zh-CN"/>
        </w:rPr>
        <w:t>经调查，上述</w:t>
      </w:r>
      <w:r>
        <w:rPr>
          <w:rFonts w:hint="default" w:ascii="仿宋_GB2312" w:eastAsia="仿宋_GB2312" w:hAnsiTheme="minorHAnsi" w:cstheme="minorBidi"/>
          <w:sz w:val="30"/>
          <w:szCs w:val="30"/>
          <w:lang w:val="en-US" w:eastAsia="zh-CN"/>
        </w:rPr>
        <w:t>商贩利用夸大功效、一折出售、限时限购、赠送礼品等方式诱导村名购买，且所售的产品均无生产日期、厂家标识和合格证明，售卖的“玛卡”也并没有药品、保健食品标识。2023年8月16日，通江县消委会沙溪分会工作人员组织村民代表和流动商贩双方依法进行调解,达成调解意见：对所有商品进行退货退款处理，最终退还村民货款金额17640元；商贩向村民赔礼道歉。流动商贩涉及的违法行为，沙溪分会已通过诉转案机制移交至市场监督管理部门立案查处。</w:t>
      </w:r>
    </w:p>
    <w:p>
      <w:pPr>
        <w:ind w:firstLine="600" w:firstLineChars="200"/>
        <w:rPr>
          <w:rFonts w:hint="default" w:ascii="仿宋_GB2312" w:eastAsia="仿宋_GB2312" w:hAnsiTheme="minorHAnsi" w:cstheme="minorBidi"/>
          <w:sz w:val="30"/>
          <w:szCs w:val="30"/>
          <w:lang w:val="en-US" w:eastAsia="zh-CN"/>
        </w:rPr>
      </w:pPr>
    </w:p>
    <w:p>
      <w:pPr>
        <w:ind w:firstLine="602" w:firstLineChars="200"/>
        <w:rPr>
          <w:rFonts w:hint="eastAsia" w:ascii="仿宋_GB2312" w:eastAsia="仿宋_GB2312" w:hAnsiTheme="minorHAnsi" w:cstheme="minorBidi"/>
          <w:b/>
          <w:bCs/>
          <w:sz w:val="30"/>
          <w:szCs w:val="30"/>
          <w:lang w:val="en-US" w:eastAsia="zh-CN"/>
        </w:rPr>
      </w:pPr>
      <w:r>
        <w:rPr>
          <w:rFonts w:hint="eastAsia" w:ascii="仿宋_GB2312" w:eastAsia="仿宋_GB2312" w:hAnsiTheme="minorHAnsi" w:cstheme="minorBidi"/>
          <w:b/>
          <w:bCs/>
          <w:sz w:val="30"/>
          <w:szCs w:val="30"/>
          <w:lang w:val="en-US" w:eastAsia="zh-CN"/>
        </w:rPr>
        <w:t>点评</w:t>
      </w:r>
    </w:p>
    <w:p>
      <w:pPr>
        <w:ind w:firstLine="600" w:firstLineChars="200"/>
        <w:rPr>
          <w:rFonts w:hint="default" w:ascii="仿宋_GB2312" w:eastAsia="仿宋_GB2312" w:hAnsiTheme="minorHAnsi" w:cstheme="minorBidi"/>
          <w:sz w:val="30"/>
          <w:szCs w:val="30"/>
          <w:lang w:val="en-US" w:eastAsia="zh-CN"/>
        </w:rPr>
      </w:pPr>
      <w:r>
        <w:rPr>
          <w:rFonts w:hint="default" w:ascii="仿宋_GB2312" w:eastAsia="仿宋_GB2312" w:hAnsiTheme="minorHAnsi" w:cstheme="minorBidi"/>
          <w:sz w:val="30"/>
          <w:szCs w:val="30"/>
          <w:lang w:val="en-US" w:eastAsia="zh-CN"/>
        </w:rPr>
        <w:t>农村山区位置偏远、地势崎岖，流动商贩普遍，加之山区农村独居老人数量庞大、消费维权意识薄弱，存在着各种消费隐患。流动商贩无固定经营场所，长期流动于各个村落，村民合法权益受到侵害后，商贩早已离去，村民维权困难。</w:t>
      </w:r>
    </w:p>
    <w:p>
      <w:pPr>
        <w:ind w:firstLine="600" w:firstLineChars="200"/>
        <w:rPr>
          <w:rFonts w:hint="default" w:ascii="仿宋_GB2312" w:eastAsia="仿宋_GB2312" w:hAnsiTheme="minorHAnsi" w:cstheme="minorBidi"/>
          <w:sz w:val="30"/>
          <w:szCs w:val="30"/>
          <w:lang w:val="en-US" w:eastAsia="zh-CN"/>
        </w:rPr>
      </w:pPr>
      <w:r>
        <w:rPr>
          <w:rFonts w:hint="eastAsia" w:ascii="仿宋_GB2312" w:eastAsia="仿宋_GB2312" w:hAnsiTheme="minorHAnsi" w:cstheme="minorBidi"/>
          <w:sz w:val="30"/>
          <w:szCs w:val="30"/>
          <w:lang w:val="en-US" w:eastAsia="zh-CN"/>
        </w:rPr>
        <w:t>消费质量报全媒体记者 白煌 见习记者 何馥君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ZGEzNGViNTAyMTk2MjI5YmU1NDk5ZTE4YmViMjYifQ=="/>
  </w:docVars>
  <w:rsids>
    <w:rsidRoot w:val="4A91202D"/>
    <w:rsid w:val="1FA4523A"/>
    <w:rsid w:val="324F6C41"/>
    <w:rsid w:val="38350227"/>
    <w:rsid w:val="40022C34"/>
    <w:rsid w:val="4A91202D"/>
    <w:rsid w:val="4FB900EC"/>
    <w:rsid w:val="738B2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方正仿宋简体"/>
      <w:kern w:val="2"/>
      <w:sz w:val="32"/>
      <w:szCs w:val="32"/>
      <w:lang w:val="en-US" w:eastAsia="zh-CN" w:bidi="ar-SA"/>
    </w:rPr>
  </w:style>
  <w:style w:type="paragraph" w:styleId="2">
    <w:name w:val="heading 2"/>
    <w:basedOn w:val="1"/>
    <w:next w:val="1"/>
    <w:link w:val="5"/>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customStyle="1" w:styleId="5">
    <w:name w:val="标题 2 Char"/>
    <w:link w:val="2"/>
    <w:autoRedefine/>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2024-03-04T08:00:00Z</dcterms:created>
  <dc:creator>这是HFJ</dc:creator>
  <cp:lastModifiedBy>张顶政</cp:lastModifiedBy>
  <dcterms:modified xsi:type="dcterms:W3CDTF">2024-03-13T12:45:48Z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D40138EEDD5142B7A150458AEEC9F517_11</vt:lpwstr>
  </property>
</Properties>
</file>