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成都市消委会发布2023年受理投诉情况分析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根据成都市保护消费者权益委员会受理投诉情况统计，2023年全市消委系统共受理消费者投诉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16001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件，接待消费者来访和咨询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7834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人次，为消费者挽回经济损失186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万元。全年消费投诉热点主要分布在食品餐饮、汽车及零部件、教育培训、媒体购物、美容美发、房屋装修等消费领域。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一、投诉性质分析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根据投诉性质（如图1所示），质量问题占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43.95%，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价格问题占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13.97%，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售后服务问题占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12.82%，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虚假宣传问题占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9.77%，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合同问题占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8.66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%，安全问题占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3.76%，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假冒问题占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1.3%，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人格尊严问题占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1.12%，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计量问题占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0.63%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，其他问题占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4565015" cy="2874645"/>
            <wp:effectExtent l="0" t="0" r="6985" b="1905"/>
            <wp:docPr id="1" name="图片 2" descr="%U}%S1V0]SZJU(S7P(N@3(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%U}%S1V0]SZJU(S7P(N@3(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图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 投诉性质比例图（%）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与2022年相比（如表1所示），虚假宣传、价格和安全问题投诉比重上升较高，合同、质量与假冒问题投诉比重下降明显，其余类投诉变化幅度较小。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表1 按投诉问题性质分类情况表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38"/>
        <w:gridCol w:w="1338"/>
        <w:gridCol w:w="1338"/>
        <w:gridCol w:w="1338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2023年(件）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投诉比重（%）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2022年（件）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投诉比重（%）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比重变化（%）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质量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43.96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价格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13.97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10.85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↑3.12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12.82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12.76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↑0.06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虚假宣传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9.77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↑3.37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8.66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2.61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↑1.4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3.76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1.73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↑2.03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假冒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人格尊严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0.63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↑0.3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二、商品和服务类别分析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在所有投诉中，商品类投诉为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9577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件，占总投诉量的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59.84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%，与去年相比，比重上升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5.61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个百分点；服务类投诉为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5705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件，占总投诉量的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35.67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%，比重下降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4.26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个百分点；其他类投诉为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件，占总投诉量的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4.49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trike/>
          <w:dstrike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根据202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年商品大类投诉数据（如图2、表2所示），家用电子电器类、食品类、服装鞋帽类、日用商品类和房屋及建材类投诉量居前五位。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drawing>
          <wp:inline distT="0" distB="0" distL="114300" distR="114300">
            <wp:extent cx="4458335" cy="3054985"/>
            <wp:effectExtent l="4445" t="4445" r="13970" b="7620"/>
            <wp:docPr id="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1680" w:firstLineChars="6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图2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商品大类投诉量图（单位：件）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表2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商品大类投诉量变化表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1197"/>
        <w:gridCol w:w="1197"/>
        <w:gridCol w:w="1197"/>
        <w:gridCol w:w="1198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商品大类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2023年（件）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投诉比重（%）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2022年（件）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投诉比重（%）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比重变化（%）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家用电子电器类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13.87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1424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11.49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↑2.38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2156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13.47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7.83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↑5.64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服装鞋帽类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1619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1043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8.42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↑1.70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日用商品类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6.66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6.24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↑0.42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房屋及建材类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5.17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9.55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↓4.38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首饰及文体用品类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3.59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4.36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↓0.77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烟、酒和饮料类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1.71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↑0.71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交通工具类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2.21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4.33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↓2.12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医药及医疗用品类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2.12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0.15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↑1.97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农用生产资料类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0.21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0.15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↑0.06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根据202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年服务大类投诉数据（如图3、表3所示），生活社会服务类、教育培训服务、销售服务、文化娱乐体育服务与房屋装修及物业服务居于服务类投诉量前五位。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4499610" cy="2701925"/>
            <wp:effectExtent l="4445" t="4445" r="10795" b="17780"/>
            <wp:docPr id="3" name="图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120" w:firstLineChars="4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图3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服务大类投诉量图（单位：件）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表3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服务大类投诉量变化表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145"/>
        <w:gridCol w:w="1145"/>
        <w:gridCol w:w="1145"/>
        <w:gridCol w:w="1145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服务大类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2023年（件）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投诉比重（%）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2022年（件）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投诉比重（%）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比重变化（%）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生活、社会服务类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1542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9.64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12.18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教育培训服务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7.46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4.14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↑3.32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销售服务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1136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8.88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文化、娱乐、体育服务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5.22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6.6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房屋装修及物业服务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3.51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5.04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旅游服务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0.79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1.07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公共设施服务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0.74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0.31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↑0.43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电信服务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0.44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↑0.12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卫生保健服务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0.36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0.52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保险服务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0.21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0.29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互联网服务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0.19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邮政业服务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0.23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金融服务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0.04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↓0.03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2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三、商品和服务投诉量变化分析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在具体商品投诉中，投诉量居前五位的分别为（如图4、表4所示）：食品、服装、通讯类产品、鞋、首饰。与202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年相比，食品、家用小电器产品、视听产品同比增长较高，其他类别增长相对较缓；只有房屋投诉量同比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有所下降。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4992370" cy="2996565"/>
            <wp:effectExtent l="4445" t="4445" r="13335" b="8890"/>
            <wp:docPr id="4" name="图表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1400" w:firstLineChars="5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图4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商品细分领域投诉前十位（单位：件）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6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表4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投诉量居前十位的商品（单位：件）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商品大类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服装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通讯类产品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首饰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房屋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装修建材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家用小电器产品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视听产品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292929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在具体服务投诉中，投诉量居前五位的分别为（如图5、表5所示）培训服务、媒体购物、健身服务、美容美发、餐饮服务。与202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年相比，培训服务、物业服务、美容美发同比显著增长。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bookmarkStart w:id="0" w:name="_GoBack"/>
      <w:r>
        <w:rPr>
          <w:color w:val="auto"/>
        </w:rPr>
        <w:drawing>
          <wp:inline distT="0" distB="0" distL="114300" distR="114300">
            <wp:extent cx="4667885" cy="2802890"/>
            <wp:effectExtent l="4445" t="5080" r="13970" b="11430"/>
            <wp:docPr id="5" name="图表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1400" w:firstLineChars="5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图5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服务细分领域投诉前十位（单位：件）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840" w:firstLineChars="3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表5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投诉量居前十位的服务（单位：件）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培训服务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媒体购物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健身服务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美容、美发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店面销售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房屋装修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洗涤、染色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教育服务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消费质量报全媒体记者 王钰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ZmZiY2YxZGI3YTEzMGEzYzFkMTRiYzM3N2ZmMjEifQ=="/>
  </w:docVars>
  <w:rsids>
    <w:rsidRoot w:val="00172A27"/>
    <w:rsid w:val="1A503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qh123/Desktop/2023&#24180;&#31532;4&#23395;&#24230;&#25237;&#35785;&#32479;&#35745;&#25253;&#34920;&#21644;&#12298;&#20856;&#22411;&#26696;&#20363;&#12299;&#25253;&#36865;/20231-4&#23395;&#2423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qh123/Desktop/2023&#24180;&#31532;4&#23395;&#24230;&#25237;&#35785;&#32479;&#35745;&#25253;&#34920;&#21644;&#12298;&#20856;&#22411;&#26696;&#20363;&#12299;&#25253;&#36865;/20231-4&#23395;&#24230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/home/qh123/Desktop/2023&#24180;&#31532;4&#23395;&#24230;&#25237;&#35785;&#32479;&#35745;&#25253;&#34920;&#21644;&#12298;&#20856;&#22411;&#26696;&#20363;&#12299;&#25253;&#36865;/20231-4&#23395;&#24230;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/home/qh123/Desktop/2023&#24180;&#31532;4&#23395;&#24230;&#25237;&#35785;&#32479;&#35745;&#25253;&#34920;&#21644;&#12298;&#20856;&#22411;&#26696;&#20363;&#12299;&#25253;&#36865;/20231-4&#23395;&#2423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'[20231-4季度.xls]Sheet1'!$A$31:$A$40</c:f>
              <c:strCache>
                <c:ptCount val="10"/>
                <c:pt idx="0">
                  <c:v>家用电子电器类</c:v>
                </c:pt>
                <c:pt idx="1">
                  <c:v>食品类</c:v>
                </c:pt>
                <c:pt idx="2">
                  <c:v>服装鞋帽类</c:v>
                </c:pt>
                <c:pt idx="3">
                  <c:v>日用商品类</c:v>
                </c:pt>
                <c:pt idx="4">
                  <c:v>房屋及建材类</c:v>
                </c:pt>
                <c:pt idx="5">
                  <c:v>首饰及文体用品类</c:v>
                </c:pt>
                <c:pt idx="6">
                  <c:v>烟、酒和饮料类</c:v>
                </c:pt>
                <c:pt idx="7">
                  <c:v>交通工具类</c:v>
                </c:pt>
                <c:pt idx="8">
                  <c:v>医药及医疗用品类</c:v>
                </c:pt>
                <c:pt idx="9">
                  <c:v>农用生产资料类</c:v>
                </c:pt>
              </c:strCache>
            </c:strRef>
          </c:cat>
          <c:val>
            <c:numRef>
              <c:f>'[20231-4季度.xls]Sheet1'!$B$31:$B$40</c:f>
              <c:numCache>
                <c:formatCode>0_ ;\-0;;</c:formatCode>
                <c:ptCount val="10"/>
                <c:pt idx="0">
                  <c:v>2220</c:v>
                </c:pt>
                <c:pt idx="1">
                  <c:v>2156</c:v>
                </c:pt>
                <c:pt idx="2">
                  <c:v>1619</c:v>
                </c:pt>
                <c:pt idx="3">
                  <c:v>1066</c:v>
                </c:pt>
                <c:pt idx="4">
                  <c:v>828</c:v>
                </c:pt>
                <c:pt idx="5">
                  <c:v>575</c:v>
                </c:pt>
                <c:pt idx="6">
                  <c:v>387</c:v>
                </c:pt>
                <c:pt idx="7">
                  <c:v>353</c:v>
                </c:pt>
                <c:pt idx="8">
                  <c:v>340</c:v>
                </c:pt>
                <c:pt idx="9">
                  <c:v>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0"/>
        <c:axId val="48346268"/>
        <c:axId val="515584211"/>
      </c:barChart>
      <c:catAx>
        <c:axId val="483462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515584211"/>
        <c:crosses val="autoZero"/>
        <c:auto val="1"/>
        <c:lblAlgn val="ctr"/>
        <c:lblOffset val="100"/>
        <c:noMultiLvlLbl val="0"/>
      </c:catAx>
      <c:valAx>
        <c:axId val="515584211"/>
        <c:scaling>
          <c:orientation val="minMax"/>
        </c:scaling>
        <c:delete val="0"/>
        <c:axPos val="l"/>
        <c:numFmt formatCode="0_ ;\-0;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483462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616666666667"/>
          <c:y val="0.0949074074074074"/>
          <c:w val="0.818911111111111"/>
          <c:h val="0.5496296296296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'[20231-4季度.xls]Sheet1'!$E$1:$E$13</c:f>
              <c:strCache>
                <c:ptCount val="13"/>
                <c:pt idx="0">
                  <c:v>生活、社会服务类</c:v>
                </c:pt>
                <c:pt idx="1">
                  <c:v>教育培训服务</c:v>
                </c:pt>
                <c:pt idx="2">
                  <c:v>销售服务</c:v>
                </c:pt>
                <c:pt idx="3">
                  <c:v>文化、娱乐、体育服务</c:v>
                </c:pt>
                <c:pt idx="4">
                  <c:v>房屋装修及物业服务</c:v>
                </c:pt>
                <c:pt idx="5">
                  <c:v>旅游服务</c:v>
                </c:pt>
                <c:pt idx="6">
                  <c:v>公共设施服务</c:v>
                </c:pt>
                <c:pt idx="7">
                  <c:v>电信服务</c:v>
                </c:pt>
                <c:pt idx="8">
                  <c:v>卫生保健服务</c:v>
                </c:pt>
                <c:pt idx="9">
                  <c:v>保险服务</c:v>
                </c:pt>
                <c:pt idx="10">
                  <c:v>互联网服务</c:v>
                </c:pt>
                <c:pt idx="11">
                  <c:v>邮政业服务</c:v>
                </c:pt>
                <c:pt idx="12">
                  <c:v>金融服务</c:v>
                </c:pt>
              </c:strCache>
            </c:strRef>
          </c:cat>
          <c:val>
            <c:numRef>
              <c:f>'[20231-4季度.xls]Sheet1'!$F$1:$F$13</c:f>
              <c:numCache>
                <c:formatCode>0_ ;\-0;;</c:formatCode>
                <c:ptCount val="13"/>
                <c:pt idx="0">
                  <c:v>1542</c:v>
                </c:pt>
                <c:pt idx="1">
                  <c:v>1193</c:v>
                </c:pt>
                <c:pt idx="2">
                  <c:v>1136</c:v>
                </c:pt>
                <c:pt idx="3">
                  <c:v>835</c:v>
                </c:pt>
                <c:pt idx="4">
                  <c:v>561</c:v>
                </c:pt>
                <c:pt idx="5">
                  <c:v>126</c:v>
                </c:pt>
                <c:pt idx="6">
                  <c:v>118</c:v>
                </c:pt>
                <c:pt idx="7">
                  <c:v>89</c:v>
                </c:pt>
                <c:pt idx="8">
                  <c:v>58</c:v>
                </c:pt>
                <c:pt idx="9">
                  <c:v>34</c:v>
                </c:pt>
                <c:pt idx="10">
                  <c:v>10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0"/>
        <c:axId val="802583603"/>
        <c:axId val="488867763"/>
      </c:barChart>
      <c:catAx>
        <c:axId val="80258360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488867763"/>
        <c:crosses val="autoZero"/>
        <c:auto val="1"/>
        <c:lblAlgn val="ctr"/>
        <c:lblOffset val="100"/>
        <c:noMultiLvlLbl val="0"/>
      </c:catAx>
      <c:valAx>
        <c:axId val="488867763"/>
        <c:scaling>
          <c:orientation val="minMax"/>
        </c:scaling>
        <c:delete val="0"/>
        <c:axPos val="l"/>
        <c:numFmt formatCode="0_ ;\-0;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8025836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770833333333333"/>
                  <c:y val="-0.0104166666666667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8125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8125"/>
                  <c:y val="-0.0034722222222222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791666666666667"/>
                  <c:y val="-0.0104166666666667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770833333333333"/>
                  <c:y val="0.00694444444444444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770833333333333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791666666666667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8125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770833333333333"/>
                  <c:y val="0.0034722222222222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9375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'[20231-4季度.xls]Sheet1'!$A$73:$A$82</c:f>
              <c:strCache>
                <c:ptCount val="10"/>
                <c:pt idx="0">
                  <c:v>   视听产品</c:v>
                </c:pt>
                <c:pt idx="1">
                  <c:v>   家用小电器产品</c:v>
                </c:pt>
                <c:pt idx="2">
                  <c:v>   儿童用品</c:v>
                </c:pt>
                <c:pt idx="3">
                  <c:v>   装修建材</c:v>
                </c:pt>
                <c:pt idx="4">
                  <c:v>   房屋</c:v>
                </c:pt>
                <c:pt idx="5">
                  <c:v>   首饰</c:v>
                </c:pt>
                <c:pt idx="6">
                  <c:v>   鞋</c:v>
                </c:pt>
                <c:pt idx="7">
                  <c:v>   通讯类产品</c:v>
                </c:pt>
                <c:pt idx="8">
                  <c:v>   服装</c:v>
                </c:pt>
                <c:pt idx="9">
                  <c:v>   食品</c:v>
                </c:pt>
              </c:strCache>
            </c:strRef>
          </c:cat>
          <c:val>
            <c:numRef>
              <c:f>'[20231-4季度.xls]Sheet1'!$B$73:$B$82</c:f>
              <c:numCache>
                <c:formatCode>0_ ;\-0;;</c:formatCode>
                <c:ptCount val="10"/>
                <c:pt idx="0">
                  <c:v>239</c:v>
                </c:pt>
                <c:pt idx="1">
                  <c:v>244</c:v>
                </c:pt>
                <c:pt idx="2">
                  <c:v>283</c:v>
                </c:pt>
                <c:pt idx="3">
                  <c:v>314</c:v>
                </c:pt>
                <c:pt idx="4">
                  <c:v>413</c:v>
                </c:pt>
                <c:pt idx="5">
                  <c:v>418</c:v>
                </c:pt>
                <c:pt idx="6">
                  <c:v>449</c:v>
                </c:pt>
                <c:pt idx="7">
                  <c:v>719</c:v>
                </c:pt>
                <c:pt idx="8">
                  <c:v>905</c:v>
                </c:pt>
                <c:pt idx="9">
                  <c:v>1689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10651399"/>
        <c:axId val="588188459"/>
      </c:barChart>
      <c:catAx>
        <c:axId val="110651399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588188459"/>
        <c:crosses val="autoZero"/>
        <c:auto val="1"/>
        <c:lblAlgn val="ctr"/>
        <c:lblOffset val="100"/>
        <c:noMultiLvlLbl val="0"/>
      </c:catAx>
      <c:valAx>
        <c:axId val="5881884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numFmt formatCode="0_ ;\-0;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110651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708333333333333"/>
                  <c:y val="-0.0034722222222222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5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791666666666667"/>
                  <c:y val="0.0034722222222222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791666666666667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791666666666667"/>
                  <c:y val="0.0104166666666667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791666666666667"/>
                  <c:y val="0.00694444444444444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833333333333333"/>
                  <c:y val="0.0104166666666667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8125"/>
                  <c:y val="0.00694444444444444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770833333333333"/>
                  <c:y val="0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75"/>
                  <c:y val="-0.0034722222222222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'[20231-4季度.xls]Sheet1'!$A$89:$A$98</c:f>
              <c:strCache>
                <c:ptCount val="10"/>
                <c:pt idx="0">
                  <c:v>   教育服务</c:v>
                </c:pt>
                <c:pt idx="1">
                  <c:v>   洗涤、染色</c:v>
                </c:pt>
                <c:pt idx="2">
                  <c:v>   房屋装修</c:v>
                </c:pt>
                <c:pt idx="3">
                  <c:v>   物业服务</c:v>
                </c:pt>
                <c:pt idx="4">
                  <c:v>   店面销售</c:v>
                </c:pt>
                <c:pt idx="5">
                  <c:v>   餐饮服务</c:v>
                </c:pt>
                <c:pt idx="6">
                  <c:v>   美容、美发</c:v>
                </c:pt>
                <c:pt idx="7">
                  <c:v>   健身服务</c:v>
                </c:pt>
                <c:pt idx="8">
                  <c:v>   媒体购物</c:v>
                </c:pt>
                <c:pt idx="9">
                  <c:v>   培训服务</c:v>
                </c:pt>
              </c:strCache>
            </c:strRef>
          </c:cat>
          <c:val>
            <c:numRef>
              <c:f>'[20231-4季度.xls]Sheet1'!$B$89:$B$98</c:f>
              <c:numCache>
                <c:formatCode>0_ ;\-0;;</c:formatCode>
                <c:ptCount val="10"/>
                <c:pt idx="0">
                  <c:v>178</c:v>
                </c:pt>
                <c:pt idx="1">
                  <c:v>203</c:v>
                </c:pt>
                <c:pt idx="2">
                  <c:v>218</c:v>
                </c:pt>
                <c:pt idx="3">
                  <c:v>260</c:v>
                </c:pt>
                <c:pt idx="4">
                  <c:v>306</c:v>
                </c:pt>
                <c:pt idx="5">
                  <c:v>367</c:v>
                </c:pt>
                <c:pt idx="6">
                  <c:v>374</c:v>
                </c:pt>
                <c:pt idx="7">
                  <c:v>556</c:v>
                </c:pt>
                <c:pt idx="8">
                  <c:v>790</c:v>
                </c:pt>
                <c:pt idx="9">
                  <c:v>973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641575486"/>
        <c:axId val="429141231"/>
      </c:barChart>
      <c:catAx>
        <c:axId val="64157548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429141231"/>
        <c:crosses val="autoZero"/>
        <c:auto val="1"/>
        <c:lblAlgn val="ctr"/>
        <c:lblOffset val="100"/>
        <c:noMultiLvlLbl val="0"/>
      </c:catAx>
      <c:valAx>
        <c:axId val="4291412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numFmt formatCode="0_ ;\-0;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64157548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404040">
          <a:lumMod val="75000"/>
          <a:lumOff val="25000"/>
        </a:srgbClr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808080">
            <a:lumMod val="50000"/>
            <a:lumOff val="50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404040">
          <a:lumMod val="75000"/>
          <a:lumOff val="25000"/>
        </a:srgbClr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808080">
            <a:lumMod val="50000"/>
            <a:lumOff val="50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2023-12-25T10:08:39Z</dcterms:created>
  <dc:creator>qh123</dc:creator>
  <cp:lastModifiedBy>布拉沃</cp:lastModifiedBy>
  <dcterms:modified xsi:type="dcterms:W3CDTF">2024-03-15T07:26:27Z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882C722348B14F9FBF847ECDC1D675FB_13</vt:lpwstr>
  </property>
</Properties>
</file>