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778"/>
          <w:tab w:val="center" w:pos="4153"/>
        </w:tabs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 xml:space="preserve">龙湖·嘉辰 </w:t>
      </w:r>
      <w:r>
        <w:rPr>
          <w:rFonts w:hint="eastAsia" w:ascii="微软雅黑" w:hAnsi="微软雅黑" w:eastAsia="微软雅黑" w:cs="微软雅黑"/>
          <w:bCs/>
          <w:sz w:val="40"/>
          <w:szCs w:val="36"/>
        </w:rPr>
        <w:t>|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龙湖再一次为城西写下满级答卷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 xml:space="preserve">导语：纵观 2024 年房地产市场，在近两月新政的连环招之下，众望所盼的不只是 市场端的向好向新，而是期待新常态市场下的不同答案。房地产的底层逻辑正发生巨变， 龙湖所看到的不是眼前所谓的“迷局”，而是远眺星河之后，带着伸手摘星的勇气，书 写着自己的满级答卷。 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这一次的答案属于龙湖·嘉辰，龙湖深耕城西，以奢定标准留下伟大作品。5 月 18 日，龙湖·嘉辰示范区盛大开放，成都首个好莱坞美学示范区，再次沸腾全城，当之无愧 的成都顶流。</w:t>
      </w:r>
    </w:p>
    <w:p>
      <w:pPr>
        <w:spacing w:after="156" w:afterLines="50" w:line="288" w:lineRule="auto"/>
      </w:pPr>
      <w:bookmarkStart w:id="0" w:name="_GoBack"/>
      <w:r>
        <w:drawing>
          <wp:inline distT="0" distB="0" distL="114300" distR="114300">
            <wp:extent cx="5269865" cy="3515360"/>
            <wp:effectExtent l="0" t="0" r="6985" b="8890"/>
            <wp:docPr id="11" name="图片 17" descr="0f3d8b92d76a4426bb69dfd44b6f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0f3d8b92d76a4426bb69dfd44b6fd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0500" cy="3515995"/>
            <wp:effectExtent l="0" t="0" r="6350" b="8255"/>
            <wp:docPr id="10" name="图片 16" descr="07264544266ca1453f65ae25f74c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07264544266ca1453f65ae25f74c4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right"/>
        <w:rPr>
          <w:rFonts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▲龙湖嘉辰示范区开放现场实拍图</w:t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</w:p>
    <w:p>
      <w:pPr>
        <w:spacing w:line="360" w:lineRule="auto"/>
        <w:jc w:val="left"/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</w:pP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城西进化</w:t>
      </w:r>
      <w:r>
        <w:rPr>
          <w:rStyle w:val="11"/>
          <w:rFonts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  </w:t>
      </w: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永恒稀贵的价值金线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以西为贵，于成都而言，是千百年来永恒不变黄金价值逻辑。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随着城市发展，城西价值也在不断迭代，从少城、浣花、金沙的历久弥新，演变到了西宸天街、天府艺术公园的国际都会。而金牛大道这条百年中轴，一脉串联起城西的高光板块与资源鼎配，为城西发展进程中绝无仅有的价值金线。</w:t>
      </w:r>
    </w:p>
    <w:p>
      <w:pPr>
        <w:spacing w:line="360" w:lineRule="auto"/>
        <w:jc w:val="center"/>
        <w:rPr>
          <w:rFonts w:ascii="宋体" w:hAnsi="宋体" w:cs="宋体"/>
          <w:kern w:val="0"/>
          <w:sz w:val="24"/>
          <w:lang/>
        </w:rPr>
      </w:pPr>
      <w:r>
        <w:rPr>
          <w:rFonts w:ascii="宋体" w:hAnsi="宋体" w:cs="宋体"/>
          <w:kern w:val="0"/>
          <w:sz w:val="24"/>
          <w:lang/>
        </w:rPr>
        <w:drawing>
          <wp:inline distT="0" distB="0" distL="114300" distR="114300">
            <wp:extent cx="5284470" cy="3408045"/>
            <wp:effectExtent l="0" t="0" r="1143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right"/>
        <w:rPr>
          <w:rFonts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▲金牛大道实拍图</w:t>
      </w:r>
    </w:p>
    <w:p>
      <w:pPr>
        <w:ind w:firstLine="42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沿着金牛大道一路向西，一个个全新板块正以前所未有的兑现度，加速国际化城西的进程。而这个进程之中，龙湖担纲起城市运营商的领航者角色，深耕城西18载，与城西同频共振，从天街TOD超级商圈到高端序列打造，先后落子20余个标杆项目，持续领航，是最懂城西的开发商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091430" cy="3390900"/>
            <wp:effectExtent l="0" t="0" r="13970" b="0"/>
            <wp:docPr id="2" name="图片 4" descr="42-1-1U1tT7nxcExgmG6HlKBgdvSnvlQoW97vagstLzyhOhwGe6upBwBVw7VuM7OQcUtqY1d9UYKoIA7WS1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2-1-1U1tT7nxcExgmG6HlKBgdvSnvlQoW97vagstLzyhOhwGe6upBwBVw7VuM7OQcUtqY1d9UYKoIA7WS1A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right"/>
        <w:rPr>
          <w:rFonts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▲西宸天街实拍图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</w:pP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得天独厚 </w:t>
      </w:r>
      <w:r>
        <w:rPr>
          <w:rStyle w:val="11"/>
          <w:rFonts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绝无仅有的金犀高地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城市价值之贵，贵在得天独厚、不可复制。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龙湖·嘉辰所处的位置，占据金牛大道、黄金3</w:t>
      </w:r>
      <w:r>
        <w:rPr>
          <w:rFonts w:ascii="微软雅黑" w:hAnsi="微软雅黑" w:eastAsia="微软雅黑"/>
          <w:sz w:val="22"/>
        </w:rPr>
        <w:t>.5</w:t>
      </w:r>
      <w:r>
        <w:rPr>
          <w:rFonts w:hint="eastAsia" w:ascii="微软雅黑" w:hAnsi="微软雅黑" w:eastAsia="微软雅黑"/>
          <w:sz w:val="22"/>
        </w:rPr>
        <w:t>环交汇的绝佳位置。</w:t>
      </w:r>
      <w:r>
        <w:rPr>
          <w:rFonts w:ascii="微软雅黑" w:hAnsi="微软雅黑" w:eastAsia="微软雅黑"/>
          <w:sz w:val="22"/>
        </w:rPr>
        <w:t>占位郫都、金牛双区融合，打破板块壁垒，</w:t>
      </w:r>
      <w:r>
        <w:rPr>
          <w:rFonts w:hint="eastAsia" w:ascii="微软雅黑" w:hAnsi="微软雅黑" w:eastAsia="微软雅黑"/>
          <w:sz w:val="22"/>
        </w:rPr>
        <w:t>一方面</w:t>
      </w:r>
      <w:r>
        <w:rPr>
          <w:rFonts w:ascii="微软雅黑" w:hAnsi="微软雅黑" w:eastAsia="微软雅黑"/>
          <w:sz w:val="22"/>
        </w:rPr>
        <w:t>占据金牛中心极核，坐享鼎配资源；</w:t>
      </w:r>
      <w:r>
        <w:rPr>
          <w:rFonts w:hint="eastAsia" w:ascii="微软雅黑" w:hAnsi="微软雅黑" w:eastAsia="微软雅黑"/>
          <w:sz w:val="22"/>
        </w:rPr>
        <w:t>另一方面</w:t>
      </w:r>
      <w:r>
        <w:rPr>
          <w:rFonts w:ascii="微软雅黑" w:hAnsi="微软雅黑" w:eastAsia="微软雅黑"/>
          <w:sz w:val="22"/>
        </w:rPr>
        <w:t>占据郫都最具成长性的发展桥头堡，</w:t>
      </w:r>
      <w:r>
        <w:rPr>
          <w:rFonts w:hint="eastAsia" w:ascii="微软雅黑" w:hAnsi="微软雅黑" w:eastAsia="微软雅黑"/>
          <w:sz w:val="22"/>
        </w:rPr>
        <w:t>同时</w:t>
      </w:r>
      <w:r>
        <w:rPr>
          <w:rFonts w:ascii="微软雅黑" w:hAnsi="微软雅黑" w:eastAsia="微软雅黑"/>
          <w:sz w:val="22"/>
        </w:rPr>
        <w:t>背靠高新西万亿产业</w:t>
      </w:r>
      <w:r>
        <w:rPr>
          <w:rFonts w:hint="eastAsia" w:ascii="微软雅黑" w:hAnsi="微软雅黑" w:eastAsia="微软雅黑"/>
          <w:sz w:val="22"/>
        </w:rPr>
        <w:t>，</w:t>
      </w:r>
      <w:r>
        <w:rPr>
          <w:rFonts w:ascii="微软雅黑" w:hAnsi="微软雅黑" w:eastAsia="微软雅黑"/>
          <w:sz w:val="22"/>
        </w:rPr>
        <w:t>聚集领涨城市红利</w:t>
      </w:r>
      <w:r>
        <w:rPr>
          <w:rFonts w:hint="eastAsia" w:ascii="微软雅黑" w:hAnsi="微软雅黑" w:eastAsia="微软雅黑"/>
          <w:sz w:val="22"/>
        </w:rPr>
        <w:t>。最高能级的城市红利叠加，促成不可复制的黄金价值坐标</w:t>
      </w:r>
      <w:r>
        <w:rPr>
          <w:rFonts w:ascii="微软雅黑" w:hAnsi="微软雅黑" w:eastAsia="微软雅黑"/>
          <w:sz w:val="22"/>
        </w:rPr>
        <w:t>。</w:t>
      </w:r>
    </w:p>
    <w:p>
      <w:pPr>
        <w:spacing w:line="360" w:lineRule="auto"/>
        <w:ind w:firstLine="420"/>
        <w:jc w:val="center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4869815" cy="2804795"/>
            <wp:effectExtent l="0" t="0" r="6985" b="14605"/>
            <wp:docPr id="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right"/>
        <w:rPr>
          <w:rFonts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▲龙湖嘉辰区位示意图</w:t>
      </w:r>
    </w:p>
    <w:p>
      <w:pPr>
        <w:spacing w:after="156" w:afterLines="50" w:line="288" w:lineRule="auto"/>
        <w:ind w:firstLine="440" w:firstLineChars="20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与此同时金牛大道、西芯大道、天河路、金周路所围合的梯形板块，正是黄金价值坐标中绝对的极核所在，“金犀价值高地”由此而来。除了与生俱来的稀缺之外，金犀高地是当下城西惟一的、可塑性极强的成片改善住区。龙湖·嘉辰正位于“金犀梯形高地”绝无仅有的腹地核芯位置。随着大型开发商的陆续进驻，住宅用地的集中供应，城西惟一纯改善住区成型。</w:t>
      </w:r>
    </w:p>
    <w:p>
      <w:pPr>
        <w:spacing w:after="156" w:afterLines="50" w:line="288" w:lineRule="auto"/>
        <w:ind w:firstLine="440" w:firstLineChars="20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据悉龙湖·嘉辰四周现整理的待开发土地就有5宗，特别在取消限购促进区域融合的当下，项目周边领涨城市红利的效应将更突出，价值可期。</w:t>
      </w:r>
    </w:p>
    <w:p>
      <w:pPr>
        <w:spacing w:after="156" w:afterLines="50" w:line="288" w:lineRule="auto"/>
        <w:ind w:firstLine="420" w:firstLineChars="200"/>
        <w:rPr>
          <w:rFonts w:hint="eastAsia" w:ascii="微软雅黑" w:hAnsi="微软雅黑" w:eastAsia="微软雅黑"/>
          <w:sz w:val="22"/>
        </w:rPr>
      </w:pPr>
      <w:r>
        <w:rPr>
          <w:lang/>
        </w:rPr>
        <w:drawing>
          <wp:inline distT="0" distB="0" distL="114300" distR="114300">
            <wp:extent cx="5269865" cy="4168775"/>
            <wp:effectExtent l="0" t="0" r="6985" b="3175"/>
            <wp:docPr id="4" name="图片 11" descr="458ee97a5ee5ebbd536313990b18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458ee97a5ee5ebbd536313990b1863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jc w:val="right"/>
        <w:rPr>
          <w:rFonts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▲金犀高地示意图</w:t>
      </w:r>
    </w:p>
    <w:p>
      <w:pPr>
        <w:spacing w:line="360" w:lineRule="auto"/>
        <w:ind w:firstLine="420"/>
        <w:jc w:val="left"/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</w:pP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天赋厚脉 </w:t>
      </w:r>
      <w:r>
        <w:rPr>
          <w:rStyle w:val="11"/>
          <w:rFonts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不可复制的资源鼎配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与其他所谓的热点板块不同，大多数热门板块的价值，多存在于未来兑现。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而龙湖·嘉辰所在的金犀板块，是出生即享受满级配套，真正意义上为城西划定奢定生活圈。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首先是犀浦T</w:t>
      </w:r>
      <w:r>
        <w:rPr>
          <w:rFonts w:ascii="微软雅黑" w:hAnsi="微软雅黑" w:eastAsia="微软雅黑"/>
          <w:sz w:val="22"/>
        </w:rPr>
        <w:t>OD</w:t>
      </w:r>
      <w:r>
        <w:rPr>
          <w:rFonts w:hint="eastAsia" w:ascii="微软雅黑" w:hAnsi="微软雅黑" w:eastAsia="微软雅黑"/>
          <w:sz w:val="22"/>
        </w:rPr>
        <w:t>&amp;金周T</w:t>
      </w:r>
      <w:r>
        <w:rPr>
          <w:rFonts w:ascii="微软雅黑" w:hAnsi="微软雅黑" w:eastAsia="微软雅黑"/>
          <w:sz w:val="22"/>
        </w:rPr>
        <w:t>OD</w:t>
      </w:r>
      <w:r>
        <w:rPr>
          <w:rFonts w:hint="eastAsia" w:ascii="微软雅黑" w:hAnsi="微软雅黑" w:eastAsia="微软雅黑"/>
          <w:sz w:val="22"/>
        </w:rPr>
        <w:t>双T</w:t>
      </w:r>
      <w:r>
        <w:rPr>
          <w:rFonts w:ascii="微软雅黑" w:hAnsi="微软雅黑" w:eastAsia="微软雅黑"/>
          <w:sz w:val="22"/>
        </w:rPr>
        <w:t>OD</w:t>
      </w:r>
      <w:r>
        <w:rPr>
          <w:rFonts w:hint="eastAsia" w:ascii="微软雅黑" w:hAnsi="微软雅黑" w:eastAsia="微软雅黑"/>
          <w:sz w:val="22"/>
        </w:rPr>
        <w:t>的加持，全城罕见。2号线天河路站口/</w:t>
      </w:r>
      <w:r>
        <w:rPr>
          <w:rFonts w:ascii="微软雅黑" w:hAnsi="微软雅黑" w:eastAsia="微软雅黑"/>
          <w:sz w:val="22"/>
        </w:rPr>
        <w:t>6</w:t>
      </w:r>
      <w:r>
        <w:rPr>
          <w:rFonts w:hint="eastAsia" w:ascii="微软雅黑" w:hAnsi="微软雅黑" w:eastAsia="微软雅黑"/>
          <w:sz w:val="22"/>
        </w:rPr>
        <w:t>号线接驳，先天占位全城枢纽的制高点，其稀缺度全城领先。在商业层面，坐享双区鼎级商圈，爱琴海购物中心、百伦广场、石犀里、润扬双铁、万科都市生活广场、四季城、凯德广场等环伺，众星捧月般的存在。在教育层面，近享犀浦幼儿园、犀浦实验、郫都四中、成都外国语学校、树德博瑞等K12学校，起步即是最高起点。全维度拉满的配置，放之全城皆为难得。</w:t>
      </w:r>
    </w:p>
    <w:p>
      <w:pPr>
        <w:spacing w:line="360" w:lineRule="auto"/>
        <w:jc w:val="left"/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</w:pP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奢定城西 </w:t>
      </w:r>
      <w:r>
        <w:rPr>
          <w:rStyle w:val="11"/>
          <w:rFonts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重现黄金时代盖茨比幻梦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 xml:space="preserve">在产品打造层面，这一次龙湖高奢基因全面进化，仅为城西奢定纯洋房住区，无论 是打造理念上，还是打造标准上，都是前所未有的高度。 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龙湖·嘉辰整体规划理念，溯源好莱坞美学灵感，对标贵族式庄园，构建一轴双核多 园，全 2T2 板式布局，实现一栋一花园；除此之外，打造庄园式前场、幻梦水院、星光 秀场、鎏金会所等四大场景复刻</w:t>
      </w:r>
      <w:r>
        <w:rPr>
          <w:rFonts w:hint="eastAsia" w:ascii="微软雅黑" w:hAnsi="微软雅黑" w:eastAsia="微软雅黑"/>
          <w:sz w:val="22"/>
        </w:rPr>
        <w:t>黄金时代</w:t>
      </w:r>
      <w:r>
        <w:rPr>
          <w:rFonts w:ascii="微软雅黑" w:hAnsi="微软雅黑" w:eastAsia="微软雅黑"/>
          <w:sz w:val="22"/>
        </w:rPr>
        <w:t xml:space="preserve">名流排场。 </w:t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在前场打造上，以超 60m 极致中轴对称门廊，镶嵌数十万级翡翠蓝奢石，构建酒 店式环岛落客区，带来贵族归家的仪式感；</w:t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4745355" cy="2779395"/>
            <wp:effectExtent l="0" t="0" r="17145" b="1905"/>
            <wp:docPr id="5" name="图片 7" descr="9d0730f63fa3acad18334adca55b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9d0730f63fa3acad18334adca55b8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内场罕见打造超 1000 ㎡幻梦水院，全叠水式立体景观，铺陈世界奢石，臻选十万 级名贵乌桕，大师艺术雕塑，</w:t>
      </w:r>
      <w:r>
        <w:rPr>
          <w:rFonts w:hint="eastAsia" w:ascii="微软雅黑" w:hAnsi="微软雅黑" w:eastAsia="微软雅黑"/>
          <w:sz w:val="22"/>
        </w:rPr>
        <w:t>呈现</w:t>
      </w:r>
      <w:r>
        <w:rPr>
          <w:rFonts w:ascii="微软雅黑" w:hAnsi="微软雅黑" w:eastAsia="微软雅黑"/>
          <w:sz w:val="22"/>
        </w:rPr>
        <w:t>好莱坞</w:t>
      </w:r>
      <w:r>
        <w:rPr>
          <w:rFonts w:hint="eastAsia" w:ascii="微软雅黑" w:hAnsi="微软雅黑" w:eastAsia="微软雅黑"/>
          <w:sz w:val="22"/>
        </w:rPr>
        <w:t>式贵族社交场域。</w:t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5291455" cy="3528695"/>
            <wp:effectExtent l="0" t="0" r="4445" b="14605"/>
            <wp:docPr id="6" name="图片 8" descr="3b9b02c480e59d57afcce71bac6c4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3b9b02c480e59d57afcce71bac6c41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与此同时，在会所层面打造约 600 ㎡千万级鎏金会所，超配六大名流空间，从派对、 健身到研读、会晤等，全维主题空间定义名流生活场景。配置之高，</w:t>
      </w:r>
      <w:r>
        <w:rPr>
          <w:rFonts w:hint="eastAsia" w:ascii="微软雅黑" w:hAnsi="微软雅黑" w:eastAsia="微软雅黑"/>
          <w:sz w:val="22"/>
        </w:rPr>
        <w:t>区域内</w:t>
      </w:r>
      <w:r>
        <w:rPr>
          <w:rFonts w:ascii="微软雅黑" w:hAnsi="微软雅黑" w:eastAsia="微软雅黑"/>
          <w:sz w:val="22"/>
        </w:rPr>
        <w:t>前所未有。</w:t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4798060" cy="2263140"/>
            <wp:effectExtent l="0" t="0" r="2540" b="3810"/>
            <wp:docPr id="7" name="图片 9" descr="e76d54549effc399a1b641c2bc76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e76d54549effc399a1b641c2bc763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hint="eastAsia"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114300" distR="114300">
            <wp:extent cx="5028565" cy="3353435"/>
            <wp:effectExtent l="0" t="0" r="635" b="18415"/>
            <wp:docPr id="8" name="图片 10" descr="5d60823dd9a0aab7b7711476b42b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5d60823dd9a0aab7b7711476b42b00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56" w:afterLines="50" w:line="288" w:lineRule="auto"/>
        <w:ind w:right="800"/>
        <w:jc w:val="right"/>
        <w:rPr>
          <w:rFonts w:hint="eastAsia" w:ascii="微软雅黑" w:hAnsi="微软雅黑" w:eastAsia="微软雅黑"/>
          <w:color w:val="808080"/>
          <w:sz w:val="20"/>
        </w:rPr>
      </w:pPr>
      <w:r>
        <w:rPr>
          <w:rFonts w:hint="eastAsia" w:ascii="微软雅黑" w:hAnsi="微软雅黑" w:eastAsia="微软雅黑"/>
          <w:color w:val="808080"/>
          <w:sz w:val="20"/>
        </w:rPr>
        <w:t>▲龙湖嘉辰示范区实拍图</w:t>
      </w:r>
    </w:p>
    <w:p>
      <w:pPr>
        <w:spacing w:line="360" w:lineRule="auto"/>
        <w:ind w:firstLine="42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最高的产品标准与最稀缺的金犀高地相辅相成，是龙湖·嘉辰诞生的先决条件，这样 的项目不仅为城西定制，放之全城也是独一无二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spacing w:line="360" w:lineRule="auto"/>
        <w:ind w:firstLine="420"/>
        <w:jc w:val="left"/>
        <w:rPr>
          <w:rFonts w:hint="eastAsia"/>
          <w:b/>
          <w:sz w:val="22"/>
        </w:rPr>
      </w:pPr>
    </w:p>
    <w:p>
      <w:pPr>
        <w:spacing w:line="360" w:lineRule="auto"/>
        <w:jc w:val="left"/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</w:pPr>
      <w:r>
        <w:rPr>
          <w:rStyle w:val="11"/>
          <w:rFonts w:hint="eastAsia" w:ascii="微软雅黑" w:hAnsi="微软雅黑" w:eastAsia="微软雅黑" w:cs="微软雅黑"/>
          <w:bCs/>
          <w:color w:val="222222"/>
          <w:sz w:val="28"/>
          <w:szCs w:val="28"/>
          <w:shd w:val="clear" w:color="auto" w:fill="FFFFFF"/>
        </w:rPr>
        <w:t>结语</w:t>
      </w:r>
    </w:p>
    <w:p>
      <w:pPr>
        <w:spacing w:line="360" w:lineRule="auto"/>
        <w:ind w:firstLine="440" w:firstLineChars="20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目前，龙湖·嘉辰实景示范区已开放，5月2</w:t>
      </w:r>
      <w:r>
        <w:rPr>
          <w:rFonts w:ascii="微软雅黑" w:hAnsi="微软雅黑" w:eastAsia="微软雅黑"/>
          <w:sz w:val="22"/>
        </w:rPr>
        <w:t>5</w:t>
      </w:r>
      <w:r>
        <w:rPr>
          <w:rFonts w:hint="eastAsia" w:ascii="微软雅黑" w:hAnsi="微软雅黑" w:eastAsia="微软雅黑"/>
          <w:sz w:val="22"/>
        </w:rPr>
        <w:t>日好莱坞美学臻装样板间即将盛启，据悉其精装标准将再一次升级，让我们共同见证龙湖从巅峰出发，为下一代洋房写下的满级答卷。</w:t>
      </w:r>
    </w:p>
    <w:p>
      <w:pPr>
        <w:spacing w:line="360" w:lineRule="auto"/>
        <w:jc w:val="left"/>
        <w:rPr>
          <w:rFonts w:hint="eastAsia" w:ascii="微软雅黑" w:hAnsi="微软雅黑" w:eastAsia="微软雅黑"/>
          <w:sz w:val="22"/>
        </w:rPr>
      </w:pPr>
      <w:r>
        <w:rPr>
          <w:b/>
          <w:lang/>
        </w:rPr>
        <w:drawing>
          <wp:inline distT="0" distB="0" distL="114300" distR="114300">
            <wp:extent cx="5262245" cy="2090420"/>
            <wp:effectExtent l="0" t="0" r="14605" b="5080"/>
            <wp:docPr id="9" name="图片 29" descr="2bad44f10606b85f973f3a4b4976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 descr="2bad44f10606b85f973f3a4b497638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1C6AFC52-C439-4C3E-BDA2-1B70F596F3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5MDIwNjZlNDI3ZjQ3YWQyOWJhMjA3NzYyZWQ4YjgifQ=="/>
  </w:docVars>
  <w:rsids>
    <w:rsidRoot w:val="0043355F"/>
    <w:rsid w:val="00002282"/>
    <w:rsid w:val="00002416"/>
    <w:rsid w:val="0000339F"/>
    <w:rsid w:val="00007A64"/>
    <w:rsid w:val="00007BFA"/>
    <w:rsid w:val="00012B74"/>
    <w:rsid w:val="0001439B"/>
    <w:rsid w:val="00015BD7"/>
    <w:rsid w:val="00015EF9"/>
    <w:rsid w:val="00040B8F"/>
    <w:rsid w:val="0004269E"/>
    <w:rsid w:val="0004335C"/>
    <w:rsid w:val="000442D8"/>
    <w:rsid w:val="00046652"/>
    <w:rsid w:val="00050443"/>
    <w:rsid w:val="000527E1"/>
    <w:rsid w:val="00052DBD"/>
    <w:rsid w:val="00053E7A"/>
    <w:rsid w:val="000574D3"/>
    <w:rsid w:val="00063231"/>
    <w:rsid w:val="00064FB9"/>
    <w:rsid w:val="000734F0"/>
    <w:rsid w:val="00075835"/>
    <w:rsid w:val="000856AF"/>
    <w:rsid w:val="00087D3C"/>
    <w:rsid w:val="0009197F"/>
    <w:rsid w:val="0009368B"/>
    <w:rsid w:val="000939B2"/>
    <w:rsid w:val="0009496C"/>
    <w:rsid w:val="00094DEF"/>
    <w:rsid w:val="0009531E"/>
    <w:rsid w:val="000A1C20"/>
    <w:rsid w:val="000A5538"/>
    <w:rsid w:val="000A5A28"/>
    <w:rsid w:val="000B09E5"/>
    <w:rsid w:val="000B55B2"/>
    <w:rsid w:val="000B58D7"/>
    <w:rsid w:val="000B76B8"/>
    <w:rsid w:val="000C25E5"/>
    <w:rsid w:val="000C3BA4"/>
    <w:rsid w:val="000C3ED4"/>
    <w:rsid w:val="000C646A"/>
    <w:rsid w:val="000C6DDB"/>
    <w:rsid w:val="000C7370"/>
    <w:rsid w:val="000C748F"/>
    <w:rsid w:val="000D1957"/>
    <w:rsid w:val="000D3F19"/>
    <w:rsid w:val="000D6E16"/>
    <w:rsid w:val="000D72F9"/>
    <w:rsid w:val="000E00B3"/>
    <w:rsid w:val="000E0B23"/>
    <w:rsid w:val="000E2578"/>
    <w:rsid w:val="000E4499"/>
    <w:rsid w:val="000E4CB9"/>
    <w:rsid w:val="000E5B32"/>
    <w:rsid w:val="000E5E80"/>
    <w:rsid w:val="000E611B"/>
    <w:rsid w:val="000F14BB"/>
    <w:rsid w:val="000F254B"/>
    <w:rsid w:val="00102A9C"/>
    <w:rsid w:val="001032CA"/>
    <w:rsid w:val="00112B84"/>
    <w:rsid w:val="00117535"/>
    <w:rsid w:val="00120655"/>
    <w:rsid w:val="00121644"/>
    <w:rsid w:val="00127E79"/>
    <w:rsid w:val="0013026B"/>
    <w:rsid w:val="0013695E"/>
    <w:rsid w:val="00137393"/>
    <w:rsid w:val="001373CF"/>
    <w:rsid w:val="00137EC2"/>
    <w:rsid w:val="00142A68"/>
    <w:rsid w:val="001439C6"/>
    <w:rsid w:val="00146C58"/>
    <w:rsid w:val="001514A4"/>
    <w:rsid w:val="001538A2"/>
    <w:rsid w:val="0015546F"/>
    <w:rsid w:val="00155C5D"/>
    <w:rsid w:val="001579A3"/>
    <w:rsid w:val="00160348"/>
    <w:rsid w:val="001618FA"/>
    <w:rsid w:val="0016278D"/>
    <w:rsid w:val="0016372C"/>
    <w:rsid w:val="001713E4"/>
    <w:rsid w:val="00173114"/>
    <w:rsid w:val="001752FA"/>
    <w:rsid w:val="001761D8"/>
    <w:rsid w:val="00176830"/>
    <w:rsid w:val="001803D9"/>
    <w:rsid w:val="00180447"/>
    <w:rsid w:val="00181B34"/>
    <w:rsid w:val="00185E5B"/>
    <w:rsid w:val="001864AA"/>
    <w:rsid w:val="001879F3"/>
    <w:rsid w:val="00187FD6"/>
    <w:rsid w:val="0019152A"/>
    <w:rsid w:val="00193F11"/>
    <w:rsid w:val="001969A0"/>
    <w:rsid w:val="001A07BD"/>
    <w:rsid w:val="001A2FF4"/>
    <w:rsid w:val="001A3507"/>
    <w:rsid w:val="001B205F"/>
    <w:rsid w:val="001B3E91"/>
    <w:rsid w:val="001B4BE6"/>
    <w:rsid w:val="001B7AE7"/>
    <w:rsid w:val="001C07FD"/>
    <w:rsid w:val="001C19C2"/>
    <w:rsid w:val="001C4C06"/>
    <w:rsid w:val="001C4F77"/>
    <w:rsid w:val="001C70C4"/>
    <w:rsid w:val="001D2641"/>
    <w:rsid w:val="001D2F93"/>
    <w:rsid w:val="001D4206"/>
    <w:rsid w:val="001D464E"/>
    <w:rsid w:val="001D7170"/>
    <w:rsid w:val="001D7736"/>
    <w:rsid w:val="001E2656"/>
    <w:rsid w:val="001E410A"/>
    <w:rsid w:val="001E7D51"/>
    <w:rsid w:val="001F1403"/>
    <w:rsid w:val="001F36AF"/>
    <w:rsid w:val="001F6D1E"/>
    <w:rsid w:val="002026A5"/>
    <w:rsid w:val="00206CD1"/>
    <w:rsid w:val="00207C7D"/>
    <w:rsid w:val="00210D64"/>
    <w:rsid w:val="002112C0"/>
    <w:rsid w:val="00231247"/>
    <w:rsid w:val="002325F3"/>
    <w:rsid w:val="00240F3E"/>
    <w:rsid w:val="002414F7"/>
    <w:rsid w:val="00243679"/>
    <w:rsid w:val="00244F78"/>
    <w:rsid w:val="002472F9"/>
    <w:rsid w:val="00250AD4"/>
    <w:rsid w:val="00251764"/>
    <w:rsid w:val="00251F74"/>
    <w:rsid w:val="0025646D"/>
    <w:rsid w:val="00262804"/>
    <w:rsid w:val="00263CD1"/>
    <w:rsid w:val="00267681"/>
    <w:rsid w:val="00270953"/>
    <w:rsid w:val="00270F0C"/>
    <w:rsid w:val="00272AEC"/>
    <w:rsid w:val="002776A7"/>
    <w:rsid w:val="002835BD"/>
    <w:rsid w:val="002849F7"/>
    <w:rsid w:val="00286C91"/>
    <w:rsid w:val="0029506D"/>
    <w:rsid w:val="002950BF"/>
    <w:rsid w:val="002A4FE1"/>
    <w:rsid w:val="002A51E3"/>
    <w:rsid w:val="002A5302"/>
    <w:rsid w:val="002A6636"/>
    <w:rsid w:val="002B04D3"/>
    <w:rsid w:val="002B1C67"/>
    <w:rsid w:val="002B385D"/>
    <w:rsid w:val="002B4A5A"/>
    <w:rsid w:val="002B5609"/>
    <w:rsid w:val="002B5AA4"/>
    <w:rsid w:val="002B5BF6"/>
    <w:rsid w:val="002B694B"/>
    <w:rsid w:val="002B69D1"/>
    <w:rsid w:val="002C2F1F"/>
    <w:rsid w:val="002C3E8F"/>
    <w:rsid w:val="002C41B0"/>
    <w:rsid w:val="002C4B26"/>
    <w:rsid w:val="002C62DC"/>
    <w:rsid w:val="002D0D36"/>
    <w:rsid w:val="002D360D"/>
    <w:rsid w:val="002D6B64"/>
    <w:rsid w:val="002D70A0"/>
    <w:rsid w:val="002D76ED"/>
    <w:rsid w:val="002E5940"/>
    <w:rsid w:val="002E628F"/>
    <w:rsid w:val="002F0925"/>
    <w:rsid w:val="002F6664"/>
    <w:rsid w:val="002F6DC7"/>
    <w:rsid w:val="00302F87"/>
    <w:rsid w:val="003060CC"/>
    <w:rsid w:val="00307610"/>
    <w:rsid w:val="00314C81"/>
    <w:rsid w:val="003150CC"/>
    <w:rsid w:val="003201D6"/>
    <w:rsid w:val="00321CB0"/>
    <w:rsid w:val="00323064"/>
    <w:rsid w:val="0032372B"/>
    <w:rsid w:val="003239FB"/>
    <w:rsid w:val="003268C6"/>
    <w:rsid w:val="00332314"/>
    <w:rsid w:val="003376AB"/>
    <w:rsid w:val="00350DC4"/>
    <w:rsid w:val="003546FA"/>
    <w:rsid w:val="00355FDC"/>
    <w:rsid w:val="00356F62"/>
    <w:rsid w:val="003577B2"/>
    <w:rsid w:val="003604E1"/>
    <w:rsid w:val="003612BA"/>
    <w:rsid w:val="003672CF"/>
    <w:rsid w:val="00367FB7"/>
    <w:rsid w:val="00371246"/>
    <w:rsid w:val="00371318"/>
    <w:rsid w:val="003729D8"/>
    <w:rsid w:val="00375C04"/>
    <w:rsid w:val="00377A70"/>
    <w:rsid w:val="003805A1"/>
    <w:rsid w:val="003827EF"/>
    <w:rsid w:val="00382C1C"/>
    <w:rsid w:val="00383459"/>
    <w:rsid w:val="00386F5C"/>
    <w:rsid w:val="003948FC"/>
    <w:rsid w:val="003A3071"/>
    <w:rsid w:val="003A5FE3"/>
    <w:rsid w:val="003B0D7F"/>
    <w:rsid w:val="003B1B2A"/>
    <w:rsid w:val="003B23F9"/>
    <w:rsid w:val="003C3B4D"/>
    <w:rsid w:val="003C40B9"/>
    <w:rsid w:val="003C5DC2"/>
    <w:rsid w:val="003D0B72"/>
    <w:rsid w:val="003D0B77"/>
    <w:rsid w:val="003D0C6D"/>
    <w:rsid w:val="003D20BC"/>
    <w:rsid w:val="003D31DC"/>
    <w:rsid w:val="003E6943"/>
    <w:rsid w:val="003E7FC0"/>
    <w:rsid w:val="003F24DC"/>
    <w:rsid w:val="003F4A8F"/>
    <w:rsid w:val="003F790F"/>
    <w:rsid w:val="00400848"/>
    <w:rsid w:val="00405662"/>
    <w:rsid w:val="004073BF"/>
    <w:rsid w:val="00411D8D"/>
    <w:rsid w:val="00413A80"/>
    <w:rsid w:val="00415581"/>
    <w:rsid w:val="00415D93"/>
    <w:rsid w:val="004162A3"/>
    <w:rsid w:val="0042129B"/>
    <w:rsid w:val="004220CC"/>
    <w:rsid w:val="00426016"/>
    <w:rsid w:val="00430248"/>
    <w:rsid w:val="0043355F"/>
    <w:rsid w:val="004336EB"/>
    <w:rsid w:val="0043488C"/>
    <w:rsid w:val="00436699"/>
    <w:rsid w:val="00440993"/>
    <w:rsid w:val="00440B20"/>
    <w:rsid w:val="00441A24"/>
    <w:rsid w:val="00442845"/>
    <w:rsid w:val="0044441C"/>
    <w:rsid w:val="004511CA"/>
    <w:rsid w:val="0045233A"/>
    <w:rsid w:val="004552BD"/>
    <w:rsid w:val="0045606B"/>
    <w:rsid w:val="00457154"/>
    <w:rsid w:val="00463BBE"/>
    <w:rsid w:val="00464A95"/>
    <w:rsid w:val="00467244"/>
    <w:rsid w:val="00472290"/>
    <w:rsid w:val="00472A44"/>
    <w:rsid w:val="00473163"/>
    <w:rsid w:val="00475B8E"/>
    <w:rsid w:val="004761E1"/>
    <w:rsid w:val="00487C72"/>
    <w:rsid w:val="00487DDB"/>
    <w:rsid w:val="00490DE9"/>
    <w:rsid w:val="00493D81"/>
    <w:rsid w:val="004A46EF"/>
    <w:rsid w:val="004A51FB"/>
    <w:rsid w:val="004A71E1"/>
    <w:rsid w:val="004A74B1"/>
    <w:rsid w:val="004B2421"/>
    <w:rsid w:val="004B3A24"/>
    <w:rsid w:val="004B4DBD"/>
    <w:rsid w:val="004B51C9"/>
    <w:rsid w:val="004B568B"/>
    <w:rsid w:val="004C0290"/>
    <w:rsid w:val="004C1C00"/>
    <w:rsid w:val="004C5BD5"/>
    <w:rsid w:val="004C6C17"/>
    <w:rsid w:val="004D2088"/>
    <w:rsid w:val="004D39B1"/>
    <w:rsid w:val="004D49EB"/>
    <w:rsid w:val="004D62F1"/>
    <w:rsid w:val="004D6856"/>
    <w:rsid w:val="004E08E2"/>
    <w:rsid w:val="004E5497"/>
    <w:rsid w:val="004E5A2C"/>
    <w:rsid w:val="004F2976"/>
    <w:rsid w:val="004F416E"/>
    <w:rsid w:val="004F4808"/>
    <w:rsid w:val="00500B26"/>
    <w:rsid w:val="00500CD6"/>
    <w:rsid w:val="005039B3"/>
    <w:rsid w:val="0051190A"/>
    <w:rsid w:val="00514607"/>
    <w:rsid w:val="00516B06"/>
    <w:rsid w:val="0052196F"/>
    <w:rsid w:val="0052306E"/>
    <w:rsid w:val="00523CD7"/>
    <w:rsid w:val="00525E76"/>
    <w:rsid w:val="00527263"/>
    <w:rsid w:val="00530402"/>
    <w:rsid w:val="0053160B"/>
    <w:rsid w:val="00532366"/>
    <w:rsid w:val="00536296"/>
    <w:rsid w:val="00541572"/>
    <w:rsid w:val="005416D0"/>
    <w:rsid w:val="00542D74"/>
    <w:rsid w:val="005443BC"/>
    <w:rsid w:val="00550C50"/>
    <w:rsid w:val="00551615"/>
    <w:rsid w:val="00552944"/>
    <w:rsid w:val="0055578A"/>
    <w:rsid w:val="0055799E"/>
    <w:rsid w:val="00560103"/>
    <w:rsid w:val="0056567E"/>
    <w:rsid w:val="00571502"/>
    <w:rsid w:val="00573FB9"/>
    <w:rsid w:val="005740A6"/>
    <w:rsid w:val="00574ACE"/>
    <w:rsid w:val="00574D49"/>
    <w:rsid w:val="005758E1"/>
    <w:rsid w:val="00576D0B"/>
    <w:rsid w:val="00581610"/>
    <w:rsid w:val="005825A5"/>
    <w:rsid w:val="0059074D"/>
    <w:rsid w:val="00594FD6"/>
    <w:rsid w:val="005A12C9"/>
    <w:rsid w:val="005A3D12"/>
    <w:rsid w:val="005A7B98"/>
    <w:rsid w:val="005B5A20"/>
    <w:rsid w:val="005B62CF"/>
    <w:rsid w:val="005B6BE6"/>
    <w:rsid w:val="005C2CAD"/>
    <w:rsid w:val="005C3BDA"/>
    <w:rsid w:val="005C70F3"/>
    <w:rsid w:val="005D0DF0"/>
    <w:rsid w:val="005D17A6"/>
    <w:rsid w:val="005D1C89"/>
    <w:rsid w:val="005D6189"/>
    <w:rsid w:val="005D6AFC"/>
    <w:rsid w:val="005E1C72"/>
    <w:rsid w:val="005E3DAC"/>
    <w:rsid w:val="005E43A6"/>
    <w:rsid w:val="005E595C"/>
    <w:rsid w:val="005E7E26"/>
    <w:rsid w:val="005F046E"/>
    <w:rsid w:val="005F21F3"/>
    <w:rsid w:val="005F6115"/>
    <w:rsid w:val="005F6D61"/>
    <w:rsid w:val="006010D8"/>
    <w:rsid w:val="00601343"/>
    <w:rsid w:val="00603BA2"/>
    <w:rsid w:val="0060442A"/>
    <w:rsid w:val="00613E24"/>
    <w:rsid w:val="006144B0"/>
    <w:rsid w:val="00615BA9"/>
    <w:rsid w:val="0062471F"/>
    <w:rsid w:val="0063328E"/>
    <w:rsid w:val="00633AA7"/>
    <w:rsid w:val="006357C2"/>
    <w:rsid w:val="00635D92"/>
    <w:rsid w:val="00640140"/>
    <w:rsid w:val="0064130E"/>
    <w:rsid w:val="006416F4"/>
    <w:rsid w:val="00641739"/>
    <w:rsid w:val="00645467"/>
    <w:rsid w:val="006462F6"/>
    <w:rsid w:val="0064787C"/>
    <w:rsid w:val="00656662"/>
    <w:rsid w:val="00660461"/>
    <w:rsid w:val="00660EAD"/>
    <w:rsid w:val="00666742"/>
    <w:rsid w:val="00671DDD"/>
    <w:rsid w:val="00672F34"/>
    <w:rsid w:val="00673BDA"/>
    <w:rsid w:val="006761A6"/>
    <w:rsid w:val="00676C20"/>
    <w:rsid w:val="0068256A"/>
    <w:rsid w:val="006870EA"/>
    <w:rsid w:val="006912B4"/>
    <w:rsid w:val="00692774"/>
    <w:rsid w:val="00693498"/>
    <w:rsid w:val="00695FF7"/>
    <w:rsid w:val="0069658C"/>
    <w:rsid w:val="006969A9"/>
    <w:rsid w:val="0069796D"/>
    <w:rsid w:val="006A11C9"/>
    <w:rsid w:val="006A1369"/>
    <w:rsid w:val="006B07CB"/>
    <w:rsid w:val="006B1F35"/>
    <w:rsid w:val="006B23A2"/>
    <w:rsid w:val="006B2D21"/>
    <w:rsid w:val="006C100E"/>
    <w:rsid w:val="006C4EA4"/>
    <w:rsid w:val="006C54FD"/>
    <w:rsid w:val="006C562F"/>
    <w:rsid w:val="006D3A9E"/>
    <w:rsid w:val="006D48F2"/>
    <w:rsid w:val="006D525C"/>
    <w:rsid w:val="006D5F16"/>
    <w:rsid w:val="006E0951"/>
    <w:rsid w:val="006E4A2A"/>
    <w:rsid w:val="006E6437"/>
    <w:rsid w:val="00702271"/>
    <w:rsid w:val="007031AC"/>
    <w:rsid w:val="0070597C"/>
    <w:rsid w:val="00706D57"/>
    <w:rsid w:val="00711153"/>
    <w:rsid w:val="0071543E"/>
    <w:rsid w:val="0071680B"/>
    <w:rsid w:val="007206E3"/>
    <w:rsid w:val="00720A08"/>
    <w:rsid w:val="00721523"/>
    <w:rsid w:val="0072386C"/>
    <w:rsid w:val="00725E55"/>
    <w:rsid w:val="007270E8"/>
    <w:rsid w:val="00727EF1"/>
    <w:rsid w:val="0073360A"/>
    <w:rsid w:val="00740BD6"/>
    <w:rsid w:val="00745CA9"/>
    <w:rsid w:val="00746B7C"/>
    <w:rsid w:val="00747198"/>
    <w:rsid w:val="007532CC"/>
    <w:rsid w:val="007543E5"/>
    <w:rsid w:val="00755C6B"/>
    <w:rsid w:val="00755DD8"/>
    <w:rsid w:val="0076303F"/>
    <w:rsid w:val="0076414A"/>
    <w:rsid w:val="0076723F"/>
    <w:rsid w:val="00770DE5"/>
    <w:rsid w:val="00770E64"/>
    <w:rsid w:val="00775E0E"/>
    <w:rsid w:val="00787D19"/>
    <w:rsid w:val="0079019F"/>
    <w:rsid w:val="00791A27"/>
    <w:rsid w:val="00794329"/>
    <w:rsid w:val="0079613A"/>
    <w:rsid w:val="00797DA5"/>
    <w:rsid w:val="007A10C8"/>
    <w:rsid w:val="007A1D54"/>
    <w:rsid w:val="007A3507"/>
    <w:rsid w:val="007A53F5"/>
    <w:rsid w:val="007A5918"/>
    <w:rsid w:val="007A71D3"/>
    <w:rsid w:val="007A7847"/>
    <w:rsid w:val="007B3692"/>
    <w:rsid w:val="007B5458"/>
    <w:rsid w:val="007B5F8B"/>
    <w:rsid w:val="007B63DE"/>
    <w:rsid w:val="007B6494"/>
    <w:rsid w:val="007C0CBF"/>
    <w:rsid w:val="007C73CF"/>
    <w:rsid w:val="007C7618"/>
    <w:rsid w:val="007D1AAD"/>
    <w:rsid w:val="007D2F80"/>
    <w:rsid w:val="007E068C"/>
    <w:rsid w:val="007E0F53"/>
    <w:rsid w:val="007E706E"/>
    <w:rsid w:val="007E76A2"/>
    <w:rsid w:val="007E7EC1"/>
    <w:rsid w:val="007F0979"/>
    <w:rsid w:val="007F3778"/>
    <w:rsid w:val="00801E2F"/>
    <w:rsid w:val="00803FE9"/>
    <w:rsid w:val="0080458C"/>
    <w:rsid w:val="00816F5F"/>
    <w:rsid w:val="008219BE"/>
    <w:rsid w:val="00826A3C"/>
    <w:rsid w:val="00830B1A"/>
    <w:rsid w:val="0083300D"/>
    <w:rsid w:val="008368AE"/>
    <w:rsid w:val="00843216"/>
    <w:rsid w:val="00850EF5"/>
    <w:rsid w:val="00851AD3"/>
    <w:rsid w:val="00852FA4"/>
    <w:rsid w:val="00860988"/>
    <w:rsid w:val="00864A6B"/>
    <w:rsid w:val="0086575F"/>
    <w:rsid w:val="00866997"/>
    <w:rsid w:val="00872AD0"/>
    <w:rsid w:val="008757EB"/>
    <w:rsid w:val="00875BEC"/>
    <w:rsid w:val="00883409"/>
    <w:rsid w:val="00884305"/>
    <w:rsid w:val="008859F1"/>
    <w:rsid w:val="00897825"/>
    <w:rsid w:val="008A0456"/>
    <w:rsid w:val="008A04A5"/>
    <w:rsid w:val="008A1473"/>
    <w:rsid w:val="008A26CE"/>
    <w:rsid w:val="008A3AC6"/>
    <w:rsid w:val="008A69C6"/>
    <w:rsid w:val="008A770B"/>
    <w:rsid w:val="008A789D"/>
    <w:rsid w:val="008B4421"/>
    <w:rsid w:val="008B5CB4"/>
    <w:rsid w:val="008C080F"/>
    <w:rsid w:val="008C51A2"/>
    <w:rsid w:val="008C7A61"/>
    <w:rsid w:val="008D0DBC"/>
    <w:rsid w:val="008D3E12"/>
    <w:rsid w:val="008D5546"/>
    <w:rsid w:val="008D645E"/>
    <w:rsid w:val="008D6E0D"/>
    <w:rsid w:val="008E0AB1"/>
    <w:rsid w:val="008E177E"/>
    <w:rsid w:val="008E416F"/>
    <w:rsid w:val="008E50ED"/>
    <w:rsid w:val="008E565C"/>
    <w:rsid w:val="008E7E81"/>
    <w:rsid w:val="008F0A9A"/>
    <w:rsid w:val="008F0BAF"/>
    <w:rsid w:val="008F2C05"/>
    <w:rsid w:val="008F50DE"/>
    <w:rsid w:val="00900FBF"/>
    <w:rsid w:val="00900FFF"/>
    <w:rsid w:val="009128A7"/>
    <w:rsid w:val="00913640"/>
    <w:rsid w:val="009164AE"/>
    <w:rsid w:val="00916DD3"/>
    <w:rsid w:val="009172FB"/>
    <w:rsid w:val="00923FC2"/>
    <w:rsid w:val="00925810"/>
    <w:rsid w:val="00927AD0"/>
    <w:rsid w:val="009303B9"/>
    <w:rsid w:val="00931F86"/>
    <w:rsid w:val="009329B8"/>
    <w:rsid w:val="00935281"/>
    <w:rsid w:val="00936658"/>
    <w:rsid w:val="00937377"/>
    <w:rsid w:val="00937886"/>
    <w:rsid w:val="009400C0"/>
    <w:rsid w:val="00942C89"/>
    <w:rsid w:val="00943418"/>
    <w:rsid w:val="009438F0"/>
    <w:rsid w:val="00943F7F"/>
    <w:rsid w:val="00944398"/>
    <w:rsid w:val="00946482"/>
    <w:rsid w:val="009468CD"/>
    <w:rsid w:val="00951741"/>
    <w:rsid w:val="009521A4"/>
    <w:rsid w:val="00952C15"/>
    <w:rsid w:val="00962932"/>
    <w:rsid w:val="00962FA0"/>
    <w:rsid w:val="00963BE9"/>
    <w:rsid w:val="00964C8C"/>
    <w:rsid w:val="00970A47"/>
    <w:rsid w:val="009721FE"/>
    <w:rsid w:val="009724F5"/>
    <w:rsid w:val="00974E3C"/>
    <w:rsid w:val="00980475"/>
    <w:rsid w:val="00983FDA"/>
    <w:rsid w:val="0098500F"/>
    <w:rsid w:val="00986D2F"/>
    <w:rsid w:val="0098796B"/>
    <w:rsid w:val="00990F78"/>
    <w:rsid w:val="00991DE0"/>
    <w:rsid w:val="00993259"/>
    <w:rsid w:val="00994D9F"/>
    <w:rsid w:val="009A33F5"/>
    <w:rsid w:val="009A638D"/>
    <w:rsid w:val="009B036D"/>
    <w:rsid w:val="009B2BA8"/>
    <w:rsid w:val="009B4E4B"/>
    <w:rsid w:val="009B5862"/>
    <w:rsid w:val="009B589A"/>
    <w:rsid w:val="009B5ED8"/>
    <w:rsid w:val="009B62DE"/>
    <w:rsid w:val="009B6607"/>
    <w:rsid w:val="009B6E76"/>
    <w:rsid w:val="009B7658"/>
    <w:rsid w:val="009C01A0"/>
    <w:rsid w:val="009C0488"/>
    <w:rsid w:val="009C63EA"/>
    <w:rsid w:val="009C6AD6"/>
    <w:rsid w:val="009C7393"/>
    <w:rsid w:val="009D3E8C"/>
    <w:rsid w:val="009D4064"/>
    <w:rsid w:val="009D6EA1"/>
    <w:rsid w:val="009D705D"/>
    <w:rsid w:val="009D75F3"/>
    <w:rsid w:val="009E03A0"/>
    <w:rsid w:val="009E067D"/>
    <w:rsid w:val="009E726F"/>
    <w:rsid w:val="009F05B1"/>
    <w:rsid w:val="009F6F44"/>
    <w:rsid w:val="009F7F17"/>
    <w:rsid w:val="00A0662D"/>
    <w:rsid w:val="00A06F9A"/>
    <w:rsid w:val="00A1092B"/>
    <w:rsid w:val="00A11D60"/>
    <w:rsid w:val="00A13A74"/>
    <w:rsid w:val="00A1736E"/>
    <w:rsid w:val="00A20426"/>
    <w:rsid w:val="00A2311F"/>
    <w:rsid w:val="00A239AA"/>
    <w:rsid w:val="00A24C18"/>
    <w:rsid w:val="00A253A7"/>
    <w:rsid w:val="00A31AD7"/>
    <w:rsid w:val="00A31F46"/>
    <w:rsid w:val="00A344AC"/>
    <w:rsid w:val="00A41060"/>
    <w:rsid w:val="00A44675"/>
    <w:rsid w:val="00A45063"/>
    <w:rsid w:val="00A50D7F"/>
    <w:rsid w:val="00A55276"/>
    <w:rsid w:val="00A55DF1"/>
    <w:rsid w:val="00A5716A"/>
    <w:rsid w:val="00A57445"/>
    <w:rsid w:val="00A65B37"/>
    <w:rsid w:val="00A66BDD"/>
    <w:rsid w:val="00A671A2"/>
    <w:rsid w:val="00A71441"/>
    <w:rsid w:val="00A715B7"/>
    <w:rsid w:val="00A71C73"/>
    <w:rsid w:val="00A76ECF"/>
    <w:rsid w:val="00A82FAD"/>
    <w:rsid w:val="00A9078F"/>
    <w:rsid w:val="00A95C69"/>
    <w:rsid w:val="00A96D35"/>
    <w:rsid w:val="00AA023D"/>
    <w:rsid w:val="00AA16A5"/>
    <w:rsid w:val="00AA1A12"/>
    <w:rsid w:val="00AA48D0"/>
    <w:rsid w:val="00AA4AF7"/>
    <w:rsid w:val="00AA5229"/>
    <w:rsid w:val="00AB1D7B"/>
    <w:rsid w:val="00AB2A94"/>
    <w:rsid w:val="00AB4863"/>
    <w:rsid w:val="00AC4E64"/>
    <w:rsid w:val="00AC60E9"/>
    <w:rsid w:val="00AD1C21"/>
    <w:rsid w:val="00AD5B16"/>
    <w:rsid w:val="00AE52EB"/>
    <w:rsid w:val="00AE5E6A"/>
    <w:rsid w:val="00AE60BB"/>
    <w:rsid w:val="00AE77AB"/>
    <w:rsid w:val="00AF0616"/>
    <w:rsid w:val="00AF3D4B"/>
    <w:rsid w:val="00AF51C5"/>
    <w:rsid w:val="00AF7492"/>
    <w:rsid w:val="00B00355"/>
    <w:rsid w:val="00B01F5B"/>
    <w:rsid w:val="00B03A94"/>
    <w:rsid w:val="00B05F7D"/>
    <w:rsid w:val="00B10F41"/>
    <w:rsid w:val="00B13F24"/>
    <w:rsid w:val="00B141A4"/>
    <w:rsid w:val="00B14CF8"/>
    <w:rsid w:val="00B1652F"/>
    <w:rsid w:val="00B26AB6"/>
    <w:rsid w:val="00B2785C"/>
    <w:rsid w:val="00B307F1"/>
    <w:rsid w:val="00B32C78"/>
    <w:rsid w:val="00B331E5"/>
    <w:rsid w:val="00B35A89"/>
    <w:rsid w:val="00B41400"/>
    <w:rsid w:val="00B4477D"/>
    <w:rsid w:val="00B45E1F"/>
    <w:rsid w:val="00B534D2"/>
    <w:rsid w:val="00B5364A"/>
    <w:rsid w:val="00B54B32"/>
    <w:rsid w:val="00B62497"/>
    <w:rsid w:val="00B6378C"/>
    <w:rsid w:val="00B6521C"/>
    <w:rsid w:val="00B67303"/>
    <w:rsid w:val="00B7283F"/>
    <w:rsid w:val="00B738DF"/>
    <w:rsid w:val="00B74280"/>
    <w:rsid w:val="00B80002"/>
    <w:rsid w:val="00B81086"/>
    <w:rsid w:val="00B8611E"/>
    <w:rsid w:val="00B874CD"/>
    <w:rsid w:val="00B9086F"/>
    <w:rsid w:val="00B91504"/>
    <w:rsid w:val="00B92A7B"/>
    <w:rsid w:val="00B933B6"/>
    <w:rsid w:val="00B96F00"/>
    <w:rsid w:val="00BA281F"/>
    <w:rsid w:val="00BA514D"/>
    <w:rsid w:val="00BA60CD"/>
    <w:rsid w:val="00BA61C4"/>
    <w:rsid w:val="00BB0ECE"/>
    <w:rsid w:val="00BB1E6E"/>
    <w:rsid w:val="00BB30C2"/>
    <w:rsid w:val="00BB4842"/>
    <w:rsid w:val="00BB525F"/>
    <w:rsid w:val="00BB5285"/>
    <w:rsid w:val="00BB790E"/>
    <w:rsid w:val="00BC14E4"/>
    <w:rsid w:val="00BC1E83"/>
    <w:rsid w:val="00BC277D"/>
    <w:rsid w:val="00BC32AD"/>
    <w:rsid w:val="00BC35D7"/>
    <w:rsid w:val="00BC47BC"/>
    <w:rsid w:val="00BC6E95"/>
    <w:rsid w:val="00BD38D4"/>
    <w:rsid w:val="00BD492C"/>
    <w:rsid w:val="00BD5923"/>
    <w:rsid w:val="00BD61AD"/>
    <w:rsid w:val="00BE06CC"/>
    <w:rsid w:val="00BE4B0D"/>
    <w:rsid w:val="00BE6261"/>
    <w:rsid w:val="00BF0216"/>
    <w:rsid w:val="00BF0976"/>
    <w:rsid w:val="00BF116F"/>
    <w:rsid w:val="00BF64B2"/>
    <w:rsid w:val="00BF70C6"/>
    <w:rsid w:val="00C005DC"/>
    <w:rsid w:val="00C03C34"/>
    <w:rsid w:val="00C12DAD"/>
    <w:rsid w:val="00C144AC"/>
    <w:rsid w:val="00C14C07"/>
    <w:rsid w:val="00C17519"/>
    <w:rsid w:val="00C273A3"/>
    <w:rsid w:val="00C27452"/>
    <w:rsid w:val="00C302BE"/>
    <w:rsid w:val="00C312E6"/>
    <w:rsid w:val="00C31574"/>
    <w:rsid w:val="00C33096"/>
    <w:rsid w:val="00C355D3"/>
    <w:rsid w:val="00C3789E"/>
    <w:rsid w:val="00C37DB4"/>
    <w:rsid w:val="00C427DC"/>
    <w:rsid w:val="00C43B63"/>
    <w:rsid w:val="00C45D17"/>
    <w:rsid w:val="00C46B87"/>
    <w:rsid w:val="00C55E60"/>
    <w:rsid w:val="00C56930"/>
    <w:rsid w:val="00C6215C"/>
    <w:rsid w:val="00C63A83"/>
    <w:rsid w:val="00C63C78"/>
    <w:rsid w:val="00C64564"/>
    <w:rsid w:val="00C70508"/>
    <w:rsid w:val="00C70D0F"/>
    <w:rsid w:val="00C7288E"/>
    <w:rsid w:val="00C82A49"/>
    <w:rsid w:val="00C84AEE"/>
    <w:rsid w:val="00C85071"/>
    <w:rsid w:val="00C86ED9"/>
    <w:rsid w:val="00C94935"/>
    <w:rsid w:val="00C96118"/>
    <w:rsid w:val="00C9619B"/>
    <w:rsid w:val="00C96366"/>
    <w:rsid w:val="00C96CED"/>
    <w:rsid w:val="00C97886"/>
    <w:rsid w:val="00CA21BA"/>
    <w:rsid w:val="00CA3EEF"/>
    <w:rsid w:val="00CA4358"/>
    <w:rsid w:val="00CB2846"/>
    <w:rsid w:val="00CC56F5"/>
    <w:rsid w:val="00CD0807"/>
    <w:rsid w:val="00CD484F"/>
    <w:rsid w:val="00CE00E1"/>
    <w:rsid w:val="00CE09E5"/>
    <w:rsid w:val="00CE284D"/>
    <w:rsid w:val="00CE48F0"/>
    <w:rsid w:val="00CE66B0"/>
    <w:rsid w:val="00CE6DB1"/>
    <w:rsid w:val="00CE72AE"/>
    <w:rsid w:val="00CF3DF4"/>
    <w:rsid w:val="00D011AF"/>
    <w:rsid w:val="00D04877"/>
    <w:rsid w:val="00D13860"/>
    <w:rsid w:val="00D14FEF"/>
    <w:rsid w:val="00D16E29"/>
    <w:rsid w:val="00D21D7E"/>
    <w:rsid w:val="00D23399"/>
    <w:rsid w:val="00D23CF6"/>
    <w:rsid w:val="00D24DFB"/>
    <w:rsid w:val="00D3169B"/>
    <w:rsid w:val="00D32EA2"/>
    <w:rsid w:val="00D32F92"/>
    <w:rsid w:val="00D37C85"/>
    <w:rsid w:val="00D37F9E"/>
    <w:rsid w:val="00D41AE0"/>
    <w:rsid w:val="00D4333D"/>
    <w:rsid w:val="00D434B1"/>
    <w:rsid w:val="00D442AE"/>
    <w:rsid w:val="00D4711D"/>
    <w:rsid w:val="00D47375"/>
    <w:rsid w:val="00D5573A"/>
    <w:rsid w:val="00D576AB"/>
    <w:rsid w:val="00D60B31"/>
    <w:rsid w:val="00D71658"/>
    <w:rsid w:val="00D7382B"/>
    <w:rsid w:val="00D74622"/>
    <w:rsid w:val="00D77B84"/>
    <w:rsid w:val="00D80AA5"/>
    <w:rsid w:val="00D837DE"/>
    <w:rsid w:val="00D86DBC"/>
    <w:rsid w:val="00D94EB8"/>
    <w:rsid w:val="00D962AD"/>
    <w:rsid w:val="00D96E03"/>
    <w:rsid w:val="00DA075F"/>
    <w:rsid w:val="00DA1A8B"/>
    <w:rsid w:val="00DA3297"/>
    <w:rsid w:val="00DA42DC"/>
    <w:rsid w:val="00DB085C"/>
    <w:rsid w:val="00DB3CF4"/>
    <w:rsid w:val="00DB65E2"/>
    <w:rsid w:val="00DB7638"/>
    <w:rsid w:val="00DC0D06"/>
    <w:rsid w:val="00DC1D80"/>
    <w:rsid w:val="00DC5A74"/>
    <w:rsid w:val="00DD3ABE"/>
    <w:rsid w:val="00DD44D2"/>
    <w:rsid w:val="00DD61FD"/>
    <w:rsid w:val="00DD6CF3"/>
    <w:rsid w:val="00DE26C7"/>
    <w:rsid w:val="00DF2CFB"/>
    <w:rsid w:val="00DF4D51"/>
    <w:rsid w:val="00DF6CB2"/>
    <w:rsid w:val="00DF6E60"/>
    <w:rsid w:val="00DF7B79"/>
    <w:rsid w:val="00E016B8"/>
    <w:rsid w:val="00E0223B"/>
    <w:rsid w:val="00E024AC"/>
    <w:rsid w:val="00E06C14"/>
    <w:rsid w:val="00E07776"/>
    <w:rsid w:val="00E136B9"/>
    <w:rsid w:val="00E145D6"/>
    <w:rsid w:val="00E15BF2"/>
    <w:rsid w:val="00E213EC"/>
    <w:rsid w:val="00E22730"/>
    <w:rsid w:val="00E27EA5"/>
    <w:rsid w:val="00E31229"/>
    <w:rsid w:val="00E31DC9"/>
    <w:rsid w:val="00E37E0A"/>
    <w:rsid w:val="00E4397D"/>
    <w:rsid w:val="00E44B4F"/>
    <w:rsid w:val="00E45685"/>
    <w:rsid w:val="00E5099D"/>
    <w:rsid w:val="00E531E9"/>
    <w:rsid w:val="00E54353"/>
    <w:rsid w:val="00E545FE"/>
    <w:rsid w:val="00E5594A"/>
    <w:rsid w:val="00E612D1"/>
    <w:rsid w:val="00E637F1"/>
    <w:rsid w:val="00E727A1"/>
    <w:rsid w:val="00E73E06"/>
    <w:rsid w:val="00E771ED"/>
    <w:rsid w:val="00E82783"/>
    <w:rsid w:val="00E82B46"/>
    <w:rsid w:val="00E907C2"/>
    <w:rsid w:val="00E93989"/>
    <w:rsid w:val="00E9431E"/>
    <w:rsid w:val="00E947B3"/>
    <w:rsid w:val="00E95B8D"/>
    <w:rsid w:val="00E95D20"/>
    <w:rsid w:val="00EA05B9"/>
    <w:rsid w:val="00EA14BB"/>
    <w:rsid w:val="00EA24A6"/>
    <w:rsid w:val="00EA3927"/>
    <w:rsid w:val="00EA4174"/>
    <w:rsid w:val="00EA5E81"/>
    <w:rsid w:val="00EB1037"/>
    <w:rsid w:val="00EB4B9E"/>
    <w:rsid w:val="00EB569C"/>
    <w:rsid w:val="00EC212D"/>
    <w:rsid w:val="00EC7C3F"/>
    <w:rsid w:val="00ED13C3"/>
    <w:rsid w:val="00ED1898"/>
    <w:rsid w:val="00ED27F2"/>
    <w:rsid w:val="00ED3B6C"/>
    <w:rsid w:val="00ED596C"/>
    <w:rsid w:val="00ED6DC1"/>
    <w:rsid w:val="00ED774A"/>
    <w:rsid w:val="00EE3615"/>
    <w:rsid w:val="00EE4AF5"/>
    <w:rsid w:val="00EE5D93"/>
    <w:rsid w:val="00EF53F8"/>
    <w:rsid w:val="00F05911"/>
    <w:rsid w:val="00F0597F"/>
    <w:rsid w:val="00F079A3"/>
    <w:rsid w:val="00F07AF2"/>
    <w:rsid w:val="00F10669"/>
    <w:rsid w:val="00F15618"/>
    <w:rsid w:val="00F15774"/>
    <w:rsid w:val="00F20637"/>
    <w:rsid w:val="00F26FAD"/>
    <w:rsid w:val="00F31EB0"/>
    <w:rsid w:val="00F35D4E"/>
    <w:rsid w:val="00F36F58"/>
    <w:rsid w:val="00F415DA"/>
    <w:rsid w:val="00F41990"/>
    <w:rsid w:val="00F42CF1"/>
    <w:rsid w:val="00F43844"/>
    <w:rsid w:val="00F45ACA"/>
    <w:rsid w:val="00F462D1"/>
    <w:rsid w:val="00F46E8D"/>
    <w:rsid w:val="00F51EE0"/>
    <w:rsid w:val="00F52BF3"/>
    <w:rsid w:val="00F53A50"/>
    <w:rsid w:val="00F54697"/>
    <w:rsid w:val="00F6023E"/>
    <w:rsid w:val="00F612FE"/>
    <w:rsid w:val="00F62D1F"/>
    <w:rsid w:val="00F63E0C"/>
    <w:rsid w:val="00F64D39"/>
    <w:rsid w:val="00F7113C"/>
    <w:rsid w:val="00F7158C"/>
    <w:rsid w:val="00F7462B"/>
    <w:rsid w:val="00F75998"/>
    <w:rsid w:val="00F7752C"/>
    <w:rsid w:val="00F776E0"/>
    <w:rsid w:val="00F80424"/>
    <w:rsid w:val="00F81A66"/>
    <w:rsid w:val="00F830E9"/>
    <w:rsid w:val="00F8579C"/>
    <w:rsid w:val="00F96A73"/>
    <w:rsid w:val="00F97063"/>
    <w:rsid w:val="00FA39C9"/>
    <w:rsid w:val="00FA78E1"/>
    <w:rsid w:val="00FB087F"/>
    <w:rsid w:val="00FB2F7D"/>
    <w:rsid w:val="00FB3384"/>
    <w:rsid w:val="00FB55B7"/>
    <w:rsid w:val="00FC112D"/>
    <w:rsid w:val="00FC40C8"/>
    <w:rsid w:val="00FC4AFF"/>
    <w:rsid w:val="00FC636B"/>
    <w:rsid w:val="00FD0A30"/>
    <w:rsid w:val="00FD19DF"/>
    <w:rsid w:val="00FD29B8"/>
    <w:rsid w:val="00FD3C19"/>
    <w:rsid w:val="00FD4214"/>
    <w:rsid w:val="00FE59D2"/>
    <w:rsid w:val="00FE5DD9"/>
    <w:rsid w:val="00FF0611"/>
    <w:rsid w:val="00FF090C"/>
    <w:rsid w:val="00FF4224"/>
    <w:rsid w:val="00FF5936"/>
    <w:rsid w:val="03D90444"/>
    <w:rsid w:val="05CB2336"/>
    <w:rsid w:val="05D85212"/>
    <w:rsid w:val="0C456C2B"/>
    <w:rsid w:val="0C752EE2"/>
    <w:rsid w:val="0DE947DF"/>
    <w:rsid w:val="0EAF1259"/>
    <w:rsid w:val="11734767"/>
    <w:rsid w:val="120674FD"/>
    <w:rsid w:val="13832C7F"/>
    <w:rsid w:val="153B4956"/>
    <w:rsid w:val="196842EC"/>
    <w:rsid w:val="1A0E565C"/>
    <w:rsid w:val="1AB84DF8"/>
    <w:rsid w:val="1AD847C1"/>
    <w:rsid w:val="1D3735DB"/>
    <w:rsid w:val="1D776A32"/>
    <w:rsid w:val="213B4C9F"/>
    <w:rsid w:val="2347692B"/>
    <w:rsid w:val="27135897"/>
    <w:rsid w:val="28C11C58"/>
    <w:rsid w:val="2AB54EB7"/>
    <w:rsid w:val="2C1B1949"/>
    <w:rsid w:val="2CCA7AFA"/>
    <w:rsid w:val="2E6F7835"/>
    <w:rsid w:val="2F4F415A"/>
    <w:rsid w:val="30881BCD"/>
    <w:rsid w:val="311F0164"/>
    <w:rsid w:val="34E431A5"/>
    <w:rsid w:val="39440B76"/>
    <w:rsid w:val="3B36794F"/>
    <w:rsid w:val="3C322CB9"/>
    <w:rsid w:val="40933676"/>
    <w:rsid w:val="42102E72"/>
    <w:rsid w:val="43FA2133"/>
    <w:rsid w:val="4414296E"/>
    <w:rsid w:val="48030BB8"/>
    <w:rsid w:val="4819416C"/>
    <w:rsid w:val="48E9432B"/>
    <w:rsid w:val="4A3347FB"/>
    <w:rsid w:val="4AC900B3"/>
    <w:rsid w:val="4CC36B68"/>
    <w:rsid w:val="4D4F6F60"/>
    <w:rsid w:val="4D996EC4"/>
    <w:rsid w:val="4FA45188"/>
    <w:rsid w:val="507F4967"/>
    <w:rsid w:val="51AD0212"/>
    <w:rsid w:val="526B3AAF"/>
    <w:rsid w:val="527B1AD2"/>
    <w:rsid w:val="58311772"/>
    <w:rsid w:val="5B6A003D"/>
    <w:rsid w:val="5BE96733"/>
    <w:rsid w:val="5D2909DE"/>
    <w:rsid w:val="5DE71C00"/>
    <w:rsid w:val="5E9D190F"/>
    <w:rsid w:val="5F185071"/>
    <w:rsid w:val="61627270"/>
    <w:rsid w:val="639C3F43"/>
    <w:rsid w:val="696A1B04"/>
    <w:rsid w:val="6B1640C4"/>
    <w:rsid w:val="6BA06612"/>
    <w:rsid w:val="6E7A30D3"/>
    <w:rsid w:val="6E97140C"/>
    <w:rsid w:val="6F7C5CF6"/>
    <w:rsid w:val="6FA72286"/>
    <w:rsid w:val="6FDB5DF3"/>
    <w:rsid w:val="6FF3138F"/>
    <w:rsid w:val="704143C0"/>
    <w:rsid w:val="71A24902"/>
    <w:rsid w:val="72B53352"/>
    <w:rsid w:val="73C63B81"/>
    <w:rsid w:val="763147C8"/>
    <w:rsid w:val="765A67AE"/>
    <w:rsid w:val="777C62B0"/>
    <w:rsid w:val="78143077"/>
    <w:rsid w:val="785B047D"/>
    <w:rsid w:val="79622AE4"/>
    <w:rsid w:val="7AC04563"/>
    <w:rsid w:val="7BBA1D62"/>
    <w:rsid w:val="7C51033B"/>
    <w:rsid w:val="7D764AAD"/>
    <w:rsid w:val="7D880388"/>
    <w:rsid w:val="7EB12BE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uiPriority w:val="0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4"/>
    <w:uiPriority w:val="0"/>
    <w:pPr>
      <w:jc w:val="left"/>
    </w:pPr>
  </w:style>
  <w:style w:type="paragraph" w:styleId="4">
    <w:name w:val="Balloon Text"/>
    <w:basedOn w:val="1"/>
    <w:link w:val="15"/>
    <w:uiPriority w:val="0"/>
    <w:rPr>
      <w:sz w:val="18"/>
      <w:szCs w:val="18"/>
    </w:rPr>
  </w:style>
  <w:style w:type="paragraph" w:styleId="5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annotation subject"/>
    <w:basedOn w:val="3"/>
    <w:next w:val="3"/>
    <w:link w:val="18"/>
    <w:uiPriority w:val="0"/>
    <w:rPr>
      <w:b/>
      <w:bCs/>
    </w:rPr>
  </w:style>
  <w:style w:type="character" w:styleId="11">
    <w:name w:val="Strong"/>
    <w:qFormat/>
    <w:uiPriority w:val="22"/>
    <w:rPr>
      <w:b/>
    </w:rPr>
  </w:style>
  <w:style w:type="character" w:styleId="12">
    <w:name w:val="Emphasis"/>
    <w:qFormat/>
    <w:uiPriority w:val="0"/>
    <w:rPr>
      <w:i/>
    </w:rPr>
  </w:style>
  <w:style w:type="character" w:styleId="13">
    <w:name w:val="annotation reference"/>
    <w:uiPriority w:val="0"/>
    <w:rPr>
      <w:sz w:val="21"/>
      <w:szCs w:val="21"/>
    </w:rPr>
  </w:style>
  <w:style w:type="character" w:customStyle="1" w:styleId="14">
    <w:name w:val="批注文字 字符"/>
    <w:link w:val="3"/>
    <w:uiPriority w:val="0"/>
    <w:rPr>
      <w:rFonts w:ascii="Calibri" w:hAnsi="Calibri"/>
      <w:kern w:val="2"/>
      <w:sz w:val="21"/>
      <w:szCs w:val="24"/>
    </w:rPr>
  </w:style>
  <w:style w:type="character" w:customStyle="1" w:styleId="15">
    <w:name w:val="批注框文本 字符"/>
    <w:link w:val="4"/>
    <w:uiPriority w:val="0"/>
    <w:rPr>
      <w:rFonts w:ascii="Calibri" w:hAnsi="Calibri"/>
      <w:kern w:val="2"/>
      <w:sz w:val="18"/>
      <w:szCs w:val="18"/>
    </w:rPr>
  </w:style>
  <w:style w:type="character" w:customStyle="1" w:styleId="16">
    <w:name w:val="页脚 字符"/>
    <w:link w:val="5"/>
    <w:uiPriority w:val="0"/>
    <w:rPr>
      <w:rFonts w:ascii="Calibri" w:hAnsi="Calibri"/>
      <w:kern w:val="2"/>
      <w:sz w:val="18"/>
      <w:szCs w:val="18"/>
    </w:rPr>
  </w:style>
  <w:style w:type="character" w:customStyle="1" w:styleId="17">
    <w:name w:val="页眉 字符"/>
    <w:link w:val="6"/>
    <w:uiPriority w:val="0"/>
    <w:rPr>
      <w:rFonts w:ascii="Calibri" w:hAnsi="Calibri"/>
      <w:kern w:val="2"/>
      <w:sz w:val="18"/>
      <w:szCs w:val="18"/>
    </w:rPr>
  </w:style>
  <w:style w:type="character" w:customStyle="1" w:styleId="18">
    <w:name w:val="批注主题 字符"/>
    <w:link w:val="8"/>
    <w:uiPriority w:val="0"/>
    <w:rPr>
      <w:rFonts w:ascii="Calibri" w:hAnsi="Calibri"/>
      <w:b/>
      <w:bCs/>
      <w:kern w:val="2"/>
      <w:sz w:val="21"/>
      <w:szCs w:val="2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1716</Words>
  <Characters>1746</Characters>
  <Lines>14</Lines>
  <Paragraphs>3</Paragraphs>
  <TotalTime>4</TotalTime>
  <ScaleCrop>false</ScaleCrop>
  <LinksUpToDate>false</LinksUpToDate>
  <CharactersWithSpaces>1783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2024-05-24T06:43:00Z</dcterms:created>
  <dc:creator>Administrator</dc:creator>
  <cp:lastModifiedBy>暮晖</cp:lastModifiedBy>
  <cp:lastPrinted>2022-10-26T17:30:00Z</cp:lastPrinted>
  <dcterms:modified xsi:type="dcterms:W3CDTF">2024-05-24T07:21:36Z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DD01A8427B474198964764445210E14E_13</vt:lpwstr>
  </property>
</Properties>
</file>