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5504DF">
      <w:pPr>
        <w:spacing w:after="156" w:afterLines="50"/>
        <w:jc w:val="center"/>
        <w:rPr>
          <w:rFonts w:hint="eastAsia" w:ascii="微软雅黑" w:hAnsi="微软雅黑" w:eastAsia="微软雅黑" w:cs="微软雅黑"/>
        </w:rPr>
      </w:pPr>
      <w:r>
        <w:rPr>
          <w:rFonts w:hint="eastAsia" w:ascii="微软雅黑" w:hAnsi="微软雅黑" w:eastAsia="微软雅黑" w:cs="微软雅黑"/>
        </w:rPr>
        <w:t>官方公众号标题</w:t>
      </w:r>
    </w:p>
    <w:p w14:paraId="12A89ABC">
      <w:pPr>
        <w:spacing w:after="156" w:afterLines="50"/>
        <w:jc w:val="center"/>
        <w:rPr>
          <w:rFonts w:hint="eastAsia" w:ascii="微软雅黑" w:hAnsi="微软雅黑" w:eastAsia="微软雅黑" w:cs="微软雅黑"/>
          <w:b/>
          <w:bCs/>
          <w:highlight w:val="yellow"/>
        </w:rPr>
      </w:pPr>
      <w:r>
        <w:rPr>
          <w:rFonts w:hint="eastAsia" w:ascii="微软雅黑" w:hAnsi="微软雅黑" w:eastAsia="微软雅黑" w:cs="微软雅黑"/>
          <w:b/>
          <w:bCs/>
          <w:highlight w:val="yellow"/>
        </w:rPr>
        <w:t>越秀·望悦丨VK绅士时尚大秀，即将登陆成都！</w:t>
      </w:r>
      <w:r>
        <w:rPr>
          <w:rFonts w:hint="eastAsia" w:ascii="微软雅黑" w:hAnsi="微软雅黑" w:eastAsia="微软雅黑" w:cs="微软雅黑"/>
          <w:b/>
          <w:bCs/>
          <w:highlight w:val="yellow"/>
        </w:rPr>
        <w:br w:type="textWrapping"/>
      </w:r>
      <w:r>
        <w:rPr>
          <w:rFonts w:hint="eastAsia" w:ascii="微软雅黑" w:hAnsi="微软雅黑" w:eastAsia="微软雅黑" w:cs="微软雅黑"/>
        </w:rPr>
        <w:t>摘要</w:t>
      </w:r>
      <w:r>
        <w:rPr>
          <w:rFonts w:hint="eastAsia" w:ascii="微软雅黑" w:hAnsi="微软雅黑" w:eastAsia="微软雅黑" w:cs="微软雅黑"/>
          <w:b/>
          <w:bCs/>
        </w:rPr>
        <w:br w:type="textWrapping"/>
      </w:r>
      <w:r>
        <w:rPr>
          <w:rFonts w:hint="eastAsia" w:ascii="微软雅黑" w:hAnsi="微软雅黑" w:eastAsia="微软雅黑" w:cs="微软雅黑"/>
          <w:b/>
          <w:bCs/>
          <w:highlight w:val="yellow"/>
        </w:rPr>
        <w:t>主城型格儫门大秀·即将上演</w:t>
      </w:r>
    </w:p>
    <w:p w14:paraId="1E96CE47">
      <w:pPr>
        <w:spacing w:after="156" w:afterLines="50"/>
        <w:jc w:val="left"/>
        <w:rPr>
          <w:rFonts w:hint="eastAsia" w:ascii="微软雅黑" w:hAnsi="微软雅黑" w:eastAsia="微软雅黑" w:cs="微软雅黑"/>
          <w:b/>
          <w:bCs/>
          <w:highlight w:val="yellow"/>
        </w:rPr>
      </w:pPr>
      <w:r>
        <w:rPr>
          <w:rFonts w:hint="eastAsia" w:ascii="微软雅黑" w:hAnsi="微软雅黑" w:eastAsia="微软雅黑" w:cs="微软雅黑"/>
          <w:b/>
          <w:bCs/>
          <w:highlight w:val="yellow"/>
        </w:rPr>
        <w:t>媒体备选标题</w:t>
      </w:r>
    </w:p>
    <w:p w14:paraId="1E9C6671">
      <w:pPr>
        <w:spacing w:after="156" w:afterLines="50"/>
        <w:jc w:val="left"/>
        <w:rPr>
          <w:rFonts w:hint="eastAsia" w:ascii="微软雅黑" w:hAnsi="微软雅黑" w:eastAsia="微软雅黑" w:cs="微软雅黑"/>
        </w:rPr>
      </w:pPr>
      <w:r>
        <w:rPr>
          <w:rFonts w:hint="eastAsia" w:ascii="微软雅黑" w:hAnsi="微软雅黑" w:eastAsia="微软雅黑" w:cs="微软雅黑"/>
        </w:rPr>
        <w:t>1、11月16日，在成都越秀·望悦与VK对话，领略一场与众不同的时尚跨界盛会！</w:t>
      </w:r>
    </w:p>
    <w:p w14:paraId="2E940DEC">
      <w:pPr>
        <w:spacing w:after="156" w:afterLines="50"/>
        <w:jc w:val="left"/>
        <w:rPr>
          <w:rFonts w:hint="eastAsia" w:ascii="微软雅黑" w:hAnsi="微软雅黑" w:eastAsia="微软雅黑" w:cs="微软雅黑"/>
        </w:rPr>
      </w:pPr>
      <w:r>
        <w:rPr>
          <w:rFonts w:hint="eastAsia" w:ascii="微软雅黑" w:hAnsi="微软雅黑" w:eastAsia="微软雅黑" w:cs="微软雅黑"/>
        </w:rPr>
        <w:t>2、成都将迎盛事，11月16日，越秀·望悦与VK联袂呈现绅士时尚秀！</w:t>
      </w:r>
    </w:p>
    <w:p w14:paraId="76330F64">
      <w:pPr>
        <w:spacing w:after="156" w:afterLines="50"/>
        <w:jc w:val="left"/>
        <w:rPr>
          <w:rFonts w:hint="eastAsia" w:ascii="微软雅黑" w:hAnsi="微软雅黑" w:eastAsia="微软雅黑" w:cs="微软雅黑"/>
        </w:rPr>
      </w:pPr>
      <w:r>
        <w:rPr>
          <w:rFonts w:hint="eastAsia" w:ascii="微软雅黑" w:hAnsi="微软雅黑" w:eastAsia="微软雅黑" w:cs="微软雅黑"/>
        </w:rPr>
        <w:t>3、成都高端第三种选择——越秀·望悦，用一场地产与时尚跨界盛会再次惊艳成都！</w:t>
      </w:r>
    </w:p>
    <w:p w14:paraId="546E34E6">
      <w:pPr>
        <w:spacing w:after="156" w:afterLines="50"/>
        <w:rPr>
          <w:rFonts w:hint="eastAsia" w:ascii="微软雅黑" w:hAnsi="微软雅黑" w:eastAsia="微软雅黑" w:cs="微软雅黑"/>
          <w:b/>
          <w:bCs/>
          <w:highlight w:val="yellow"/>
        </w:rPr>
      </w:pPr>
      <w:r>
        <w:rPr>
          <w:rFonts w:hint="eastAsia" w:ascii="微软雅黑" w:hAnsi="微软雅黑" w:eastAsia="微软雅黑" w:cs="微软雅黑"/>
        </w:rPr>
        <w:t>4、11月16日，越秀·望悦携手VK，绅士时尚大秀即将闪耀成都！</w:t>
      </w:r>
    </w:p>
    <w:p w14:paraId="2DD4FB17">
      <w:pPr>
        <w:spacing w:after="156" w:afterLines="50" w:line="360" w:lineRule="auto"/>
        <w:rPr>
          <w:rFonts w:hint="eastAsia" w:ascii="微软雅黑" w:hAnsi="微软雅黑" w:eastAsia="微软雅黑" w:cs="微软雅黑"/>
        </w:rPr>
      </w:pPr>
    </w:p>
    <w:p w14:paraId="0EDA70FF">
      <w:pPr>
        <w:spacing w:after="156" w:afterLines="50" w:line="360" w:lineRule="auto"/>
        <w:rPr>
          <w:rFonts w:hint="eastAsia" w:ascii="微软雅黑" w:hAnsi="微软雅黑" w:eastAsia="微软雅黑" w:cs="微软雅黑"/>
          <w:highlight w:val="yellow"/>
        </w:rPr>
      </w:pPr>
      <w:r>
        <w:rPr>
          <w:rFonts w:hint="eastAsia" w:ascii="微软雅黑" w:hAnsi="微软雅黑" w:eastAsia="微软雅黑" w:cs="微软雅黑"/>
          <w:highlight w:val="yellow"/>
        </w:rPr>
        <w:t>内文：</w:t>
      </w:r>
    </w:p>
    <w:p w14:paraId="6D2DAEA4">
      <w:pPr>
        <w:spacing w:after="156" w:afterLines="50" w:line="360" w:lineRule="auto"/>
        <w:ind w:firstLine="400" w:firstLineChars="200"/>
        <w:rPr>
          <w:rFonts w:hint="eastAsia" w:ascii="微软雅黑" w:hAnsi="微软雅黑" w:eastAsia="微软雅黑" w:cs="微软雅黑"/>
        </w:rPr>
      </w:pPr>
      <w:r>
        <w:rPr>
          <w:rFonts w:hint="eastAsia" w:ascii="微软雅黑" w:hAnsi="微软雅黑" w:eastAsia="微软雅黑" w:cs="微软雅黑"/>
          <w:sz w:val="20"/>
          <w:szCs w:val="22"/>
        </w:rPr>
        <w:t>11月16日，越秀成都2024战略作品越秀·望悦首次携手国际时尚品牌VK，共创一场『成都型格·秀在望悦』隐YUE人物之夜——VK高定秀场酒会。届时，越秀成都高端生活社群隐YUE-CLUB将同步盛大启幕。</w:t>
      </w:r>
      <w:r>
        <w:rPr>
          <w:rFonts w:hint="eastAsia" w:ascii="微软雅黑" w:hAnsi="微软雅黑" w:eastAsia="微软雅黑" w:cs="微软雅黑"/>
          <w:sz w:val="20"/>
          <w:szCs w:val="22"/>
        </w:rPr>
        <w:br w:type="textWrapping"/>
      </w:r>
      <w:r>
        <w:rPr>
          <w:rFonts w:hint="eastAsia" w:ascii="微软雅黑" w:hAnsi="微软雅黑" w:eastAsia="微软雅黑" w:cs="微软雅黑"/>
          <w:sz w:val="20"/>
          <w:szCs w:val="22"/>
        </w:rPr>
        <w:t xml:space="preserve">    这不仅是一场国际时尚品牌与成都高端地产的跨界盛会，更是一次对生活品质、艺术追求与社交圈层的深度探索。这一次，从时尚走进生活的跨界演绎，在越秀·望悦沉浸式感受属于主城高端型格生活的独特魅力。</w:t>
      </w:r>
      <w:r>
        <w:rPr>
          <w:rFonts w:hint="eastAsia" w:ascii="微软雅黑" w:hAnsi="微软雅黑" w:eastAsia="微软雅黑" w:cs="微软雅黑"/>
          <w:color w:val="0000FF"/>
          <w:sz w:val="20"/>
          <w:szCs w:val="22"/>
        </w:rPr>
        <w:br w:type="textWrapping"/>
      </w:r>
      <w:r>
        <w:rPr>
          <w:rFonts w:hint="eastAsia" w:ascii="微软雅黑" w:hAnsi="微软雅黑" w:eastAsia="微软雅黑" w:cs="微软雅黑"/>
          <w:sz w:val="20"/>
          <w:szCs w:val="22"/>
        </w:rPr>
        <w:t xml:space="preserve">                                    </w:t>
      </w:r>
      <w:r>
        <w:rPr>
          <w:rFonts w:hint="eastAsia" w:ascii="微软雅黑" w:hAnsi="微软雅黑" w:eastAsia="微软雅黑" w:cs="微软雅黑"/>
          <w:sz w:val="20"/>
          <w:szCs w:val="22"/>
          <w:highlight w:val="cyan"/>
        </w:rPr>
        <w:t>+预告视频+（详细见群）</w:t>
      </w:r>
    </w:p>
    <w:p w14:paraId="0C91B8C6">
      <w:pPr>
        <w:spacing w:after="156" w:afterLines="50" w:line="360" w:lineRule="auto"/>
        <w:jc w:val="left"/>
        <w:rPr>
          <w:rFonts w:hint="eastAsia" w:ascii="微软雅黑" w:hAnsi="微软雅黑" w:eastAsia="微软雅黑" w:cs="微软雅黑"/>
          <w:b/>
          <w:bCs/>
          <w:sz w:val="22"/>
          <w:szCs w:val="28"/>
        </w:rPr>
      </w:pPr>
      <w:r>
        <w:rPr>
          <w:rFonts w:hint="eastAsia" w:ascii="微软雅黑" w:hAnsi="微软雅黑" w:eastAsia="微软雅黑" w:cs="微软雅黑"/>
          <w:b/>
          <w:bCs/>
          <w:sz w:val="22"/>
          <w:szCs w:val="28"/>
        </w:rPr>
        <w:t>VERUS KNIGHT</w:t>
      </w:r>
      <w:r>
        <w:rPr>
          <w:rFonts w:hint="eastAsia" w:ascii="微软雅黑" w:hAnsi="微软雅黑" w:eastAsia="微软雅黑" w:cs="微软雅黑"/>
          <w:b/>
          <w:bCs/>
          <w:sz w:val="22"/>
          <w:szCs w:val="28"/>
        </w:rPr>
        <w:br w:type="textWrapping"/>
      </w:r>
      <w:r>
        <w:rPr>
          <w:rFonts w:hint="eastAsia" w:ascii="微软雅黑" w:hAnsi="微软雅黑" w:eastAsia="微软雅黑" w:cs="微软雅黑"/>
          <w:b/>
          <w:bCs/>
          <w:sz w:val="22"/>
          <w:szCs w:val="28"/>
        </w:rPr>
        <w:t>国际时尚界的璀璨瑰宝</w:t>
      </w:r>
    </w:p>
    <w:p w14:paraId="4D6A4CAF">
      <w:pPr>
        <w:spacing w:after="156" w:afterLines="50" w:line="360" w:lineRule="auto"/>
        <w:rPr>
          <w:rFonts w:hint="eastAsia" w:ascii="微软雅黑" w:hAnsi="微软雅黑" w:eastAsia="微软雅黑" w:cs="微软雅黑"/>
        </w:rPr>
      </w:pPr>
      <w:r>
        <w:rPr>
          <w:rFonts w:hint="eastAsia" w:ascii="微软雅黑" w:hAnsi="微软雅黑" w:eastAsia="微软雅黑" w:cs="微软雅黑"/>
          <w:sz w:val="20"/>
          <w:szCs w:val="22"/>
        </w:rPr>
        <w:t>VERUS KNIGHT（VK），不仅是一个行走于全球的高级定制时尚品牌，更是一种生活态度的象征，它代表着对品质生活的追求，对个性表达的坚持，以及对时尚潮流的敏锐洞察。而VK百男大秀，作为VK品牌年度重头戏，更是汇聚了全球顶尖的模特与设计师，旨为展现男士时尚的无限可能。</w:t>
      </w:r>
    </w:p>
    <w:p w14:paraId="020CBDBB">
      <w:pPr>
        <w:spacing w:after="156" w:afterLines="50" w:line="360" w:lineRule="auto"/>
        <w:jc w:val="left"/>
        <w:rPr>
          <w:rFonts w:hint="eastAsia" w:ascii="微软雅黑" w:hAnsi="微软雅黑" w:eastAsia="微软雅黑" w:cs="微软雅黑"/>
          <w:sz w:val="20"/>
          <w:szCs w:val="22"/>
        </w:rPr>
      </w:pPr>
      <w:r>
        <w:rPr>
          <w:rFonts w:hint="eastAsia" w:ascii="微软雅黑" w:hAnsi="微软雅黑" w:eastAsia="微软雅黑" w:cs="微软雅黑"/>
        </w:rPr>
        <w:drawing>
          <wp:inline distT="0" distB="0" distL="114300" distR="114300">
            <wp:extent cx="5272405" cy="3514725"/>
            <wp:effectExtent l="0" t="0" r="4445" b="9525"/>
            <wp:docPr id="2" name="图片 2" descr="f3ce2cd4f27da653f5a56c5b27f0a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3ce2cd4f27da653f5a56c5b27f0a99"/>
                    <pic:cNvPicPr>
                      <a:picLocks noChangeAspect="1"/>
                    </pic:cNvPicPr>
                  </pic:nvPicPr>
                  <pic:blipFill>
                    <a:blip r:embed="rId4"/>
                    <a:stretch>
                      <a:fillRect/>
                    </a:stretch>
                  </pic:blipFill>
                  <pic:spPr>
                    <a:xfrm>
                      <a:off x="0" y="0"/>
                      <a:ext cx="5272405" cy="3514725"/>
                    </a:xfrm>
                    <a:prstGeom prst="rect">
                      <a:avLst/>
                    </a:prstGeom>
                  </pic:spPr>
                </pic:pic>
              </a:graphicData>
            </a:graphic>
          </wp:inline>
        </w:drawing>
      </w:r>
      <w:r>
        <w:rPr>
          <w:rFonts w:hint="eastAsia" w:ascii="微软雅黑" w:hAnsi="微软雅黑" w:eastAsia="微软雅黑" w:cs="微软雅黑"/>
        </w:rPr>
        <w:t>△意境图</w:t>
      </w:r>
    </w:p>
    <w:p w14:paraId="3DD74E7B">
      <w:pPr>
        <w:spacing w:after="156" w:afterLines="50" w:line="360" w:lineRule="auto"/>
        <w:ind w:firstLine="400" w:firstLineChars="200"/>
        <w:rPr>
          <w:rFonts w:hint="eastAsia" w:ascii="微软雅黑" w:hAnsi="微软雅黑" w:eastAsia="微软雅黑" w:cs="微软雅黑"/>
        </w:rPr>
      </w:pPr>
      <w:r>
        <w:rPr>
          <w:rFonts w:hint="eastAsia" w:ascii="微软雅黑" w:hAnsi="微软雅黑" w:eastAsia="微软雅黑" w:cs="微软雅黑"/>
          <w:sz w:val="20"/>
          <w:szCs w:val="22"/>
        </w:rPr>
        <w:t>作为中国男士生活方式集合平台，VK百男大秀汇聚了中国12大领域、不同年龄层，有态度、有格调的男性，包括企业家、创业家、中国超模、明星名流、文化艺术家、运动员等各民族、各年龄层的绅士人物。从2014年至今，VK大秀已先后在上海、广州、香港、深圳、米兰等城市登场，绅士们以自信的步伐、优雅的姿态、独特的绅士风度，赢得国际时尚界人士与媒体的一致赞誉。</w:t>
      </w:r>
    </w:p>
    <w:p w14:paraId="07EA8A39">
      <w:pPr>
        <w:spacing w:after="156" w:afterLines="50" w:line="360" w:lineRule="auto"/>
        <w:rPr>
          <w:rFonts w:hint="eastAsia" w:ascii="微软雅黑" w:hAnsi="微软雅黑" w:eastAsia="微软雅黑" w:cs="微软雅黑"/>
          <w:sz w:val="20"/>
          <w:szCs w:val="22"/>
        </w:rPr>
      </w:pPr>
      <w:r>
        <w:rPr>
          <w:rFonts w:hint="eastAsia" w:ascii="微软雅黑" w:hAnsi="微软雅黑" w:eastAsia="微软雅黑" w:cs="微软雅黑"/>
        </w:rPr>
        <w:br w:type="textWrapping"/>
      </w:r>
      <w:r>
        <w:rPr>
          <w:rFonts w:hint="eastAsia" w:ascii="微软雅黑" w:hAnsi="微软雅黑" w:eastAsia="微软雅黑" w:cs="微软雅黑"/>
          <w:b/>
          <w:bCs/>
          <w:sz w:val="22"/>
          <w:szCs w:val="28"/>
        </w:rPr>
        <w:t>越秀·望悦x VK</w:t>
      </w:r>
      <w:r>
        <w:rPr>
          <w:rFonts w:hint="eastAsia" w:ascii="微软雅黑" w:hAnsi="微软雅黑" w:eastAsia="微软雅黑" w:cs="微软雅黑"/>
          <w:b/>
          <w:bCs/>
          <w:sz w:val="22"/>
          <w:szCs w:val="28"/>
        </w:rPr>
        <w:br w:type="textWrapping"/>
      </w:r>
      <w:r>
        <w:rPr>
          <w:rFonts w:hint="eastAsia" w:ascii="微软雅黑" w:hAnsi="微软雅黑" w:eastAsia="微软雅黑" w:cs="微软雅黑"/>
          <w:b/>
          <w:bCs/>
          <w:sz w:val="22"/>
          <w:szCs w:val="28"/>
        </w:rPr>
        <w:t>源于型格生活的共鸣与追求</w:t>
      </w:r>
    </w:p>
    <w:p w14:paraId="4BC56667">
      <w:pPr>
        <w:spacing w:after="156" w:afterLines="50" w:line="360" w:lineRule="auto"/>
        <w:ind w:firstLine="400" w:firstLineChars="200"/>
        <w:rPr>
          <w:rFonts w:hint="eastAsia" w:ascii="微软雅黑" w:hAnsi="微软雅黑" w:eastAsia="微软雅黑" w:cs="微软雅黑"/>
        </w:rPr>
      </w:pPr>
      <w:r>
        <w:rPr>
          <w:rFonts w:hint="eastAsia" w:ascii="微软雅黑" w:hAnsi="微软雅黑" w:eastAsia="微软雅黑" w:cs="微软雅黑"/>
          <w:sz w:val="20"/>
          <w:szCs w:val="22"/>
        </w:rPr>
        <w:t>作为越秀成都2024隐奢战略作品，越秀·望悦似乎天生就与时尚界有着千丝万缕的联系。无论是高定的隐奢生活理念，或是当下全新的“型格儫宅”定义，都与越秀·望悦所在的地段息息相关。</w:t>
      </w:r>
      <w:r>
        <w:rPr>
          <w:rFonts w:hint="eastAsia" w:ascii="微软雅黑" w:hAnsi="微软雅黑" w:eastAsia="微软雅黑" w:cs="微软雅黑"/>
          <w:sz w:val="20"/>
          <w:szCs w:val="22"/>
        </w:rPr>
        <w:br w:type="textWrapping"/>
      </w:r>
      <w:r>
        <w:rPr>
          <w:rFonts w:hint="eastAsia" w:ascii="微软雅黑" w:hAnsi="微软雅黑" w:eastAsia="微软雅黑" w:cs="微软雅黑"/>
          <w:sz w:val="20"/>
          <w:szCs w:val="22"/>
        </w:rPr>
        <w:drawing>
          <wp:inline distT="0" distB="0" distL="114300" distR="114300">
            <wp:extent cx="5267325" cy="2962910"/>
            <wp:effectExtent l="0" t="0" r="9525" b="8890"/>
            <wp:docPr id="4" name="图片 4" descr="62af60d0a0b19db227b8d95924b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2af60d0a0b19db227b8d95924b6619"/>
                    <pic:cNvPicPr>
                      <a:picLocks noChangeAspect="1"/>
                    </pic:cNvPicPr>
                  </pic:nvPicPr>
                  <pic:blipFill>
                    <a:blip r:embed="rId5"/>
                    <a:stretch>
                      <a:fillRect/>
                    </a:stretch>
                  </pic:blipFill>
                  <pic:spPr>
                    <a:xfrm>
                      <a:off x="0" y="0"/>
                      <a:ext cx="5267325" cy="2962910"/>
                    </a:xfrm>
                    <a:prstGeom prst="rect">
                      <a:avLst/>
                    </a:prstGeom>
                  </pic:spPr>
                </pic:pic>
              </a:graphicData>
            </a:graphic>
          </wp:inline>
        </w:drawing>
      </w:r>
      <w:r>
        <w:rPr>
          <w:rFonts w:hint="eastAsia" w:ascii="微软雅黑" w:hAnsi="微软雅黑" w:eastAsia="微软雅黑" w:cs="微软雅黑"/>
          <w:sz w:val="20"/>
          <w:szCs w:val="22"/>
        </w:rPr>
        <w:br w:type="textWrapping"/>
      </w:r>
      <w:r>
        <w:rPr>
          <w:rFonts w:hint="eastAsia" w:ascii="微软雅黑" w:hAnsi="微软雅黑" w:eastAsia="微软雅黑" w:cs="微软雅黑"/>
        </w:rPr>
        <w:t>△项目区位图</w:t>
      </w:r>
    </w:p>
    <w:p w14:paraId="6EF65202">
      <w:pPr>
        <w:spacing w:after="156" w:afterLines="50" w:line="360" w:lineRule="auto"/>
        <w:ind w:firstLine="400" w:firstLineChars="200"/>
        <w:rPr>
          <w:rFonts w:hint="eastAsia" w:ascii="微软雅黑" w:hAnsi="微软雅黑" w:eastAsia="微软雅黑" w:cs="微软雅黑"/>
          <w:sz w:val="20"/>
          <w:szCs w:val="22"/>
        </w:rPr>
      </w:pPr>
      <w:r>
        <w:rPr>
          <w:rFonts w:hint="eastAsia" w:ascii="微软雅黑" w:hAnsi="微软雅黑" w:eastAsia="微软雅黑" w:cs="微软雅黑"/>
          <w:sz w:val="20"/>
          <w:szCs w:val="22"/>
        </w:rPr>
        <w:br w:type="textWrapping"/>
      </w:r>
      <w:r>
        <w:rPr>
          <w:rFonts w:hint="eastAsia" w:ascii="微软雅黑" w:hAnsi="微软雅黑" w:eastAsia="微软雅黑" w:cs="微软雅黑"/>
          <w:sz w:val="20"/>
          <w:szCs w:val="22"/>
        </w:rPr>
        <w:t xml:space="preserve">    论及主城的时尚圈，从春熙路到万象城，这也正是隐YUE人物的理想生活地域。越秀·望悦正位居万象城旁，锚定主城潮流生活中“芯”腹地，不仅环拥4/7号线地铁双TOD，而且直线距离万象城约2.6KM、直线距离东郊记忆约2.9KM等主城时尚潮流地标。与繁华为伴，与时尚共生，让越秀·望悦一面世便与高端生活无缝贴合，直接为隐YUE人物提供了高端生活的第三种选择——隐奢之上的型格儫宅生活！</w:t>
      </w:r>
    </w:p>
    <w:p w14:paraId="7AB519B3">
      <w:pPr>
        <w:spacing w:after="156" w:afterLines="50" w:line="360" w:lineRule="auto"/>
        <w:ind w:firstLine="400" w:firstLineChars="200"/>
        <w:rPr>
          <w:rFonts w:hint="eastAsia" w:ascii="微软雅黑" w:hAnsi="微软雅黑" w:eastAsia="微软雅黑" w:cs="微软雅黑"/>
          <w:color w:val="0000FF"/>
          <w:sz w:val="20"/>
          <w:szCs w:val="22"/>
        </w:rPr>
      </w:pPr>
      <w:r>
        <w:rPr>
          <w:rFonts w:hint="eastAsia" w:ascii="微软雅黑" w:hAnsi="微软雅黑" w:eastAsia="微软雅黑" w:cs="微软雅黑"/>
          <w:sz w:val="20"/>
          <w:szCs w:val="22"/>
        </w:rPr>
        <w:t>在内部产品打造上， 越秀·望悦联袂蓝调集团常务副总裁任刚、HZS首席执行官/董事长张润舟、ONE-CU壹方创始人黄剑锋、WJID维几设计总设计师黄全四位国内外知名设计大师领衔担纲，以大师之独家理解与匠心，融入建筑、景观、空间设计中，为越秀·望悦注入主城少有的型格儫宅生活基因。</w:t>
      </w:r>
      <w:r>
        <w:rPr>
          <w:rFonts w:hint="eastAsia" w:ascii="微软雅黑" w:hAnsi="微软雅黑" w:eastAsia="微软雅黑" w:cs="微软雅黑"/>
          <w:sz w:val="20"/>
          <w:szCs w:val="22"/>
        </w:rPr>
        <w:br w:type="textWrapping"/>
      </w:r>
      <w:r>
        <w:rPr>
          <w:rFonts w:hint="eastAsia" w:ascii="微软雅黑" w:hAnsi="微软雅黑" w:eastAsia="微软雅黑" w:cs="微软雅黑"/>
          <w:color w:val="0000FF"/>
          <w:sz w:val="20"/>
          <w:szCs w:val="22"/>
        </w:rPr>
        <w:drawing>
          <wp:inline distT="0" distB="0" distL="114300" distR="114300">
            <wp:extent cx="5266055" cy="3075305"/>
            <wp:effectExtent l="0" t="0" r="10795" b="10795"/>
            <wp:docPr id="3" name="图片 3" descr="7757aefac93627c383bcdf22879c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757aefac93627c383bcdf22879cbd0"/>
                    <pic:cNvPicPr>
                      <a:picLocks noChangeAspect="1"/>
                    </pic:cNvPicPr>
                  </pic:nvPicPr>
                  <pic:blipFill>
                    <a:blip r:embed="rId6"/>
                    <a:stretch>
                      <a:fillRect/>
                    </a:stretch>
                  </pic:blipFill>
                  <pic:spPr>
                    <a:xfrm>
                      <a:off x="0" y="0"/>
                      <a:ext cx="5266055" cy="3075305"/>
                    </a:xfrm>
                    <a:prstGeom prst="rect">
                      <a:avLst/>
                    </a:prstGeom>
                  </pic:spPr>
                </pic:pic>
              </a:graphicData>
            </a:graphic>
          </wp:inline>
        </w:drawing>
      </w:r>
      <w:r>
        <w:rPr>
          <w:rFonts w:hint="eastAsia" w:ascii="微软雅黑" w:hAnsi="微软雅黑" w:eastAsia="微软雅黑" w:cs="微软雅黑"/>
          <w:color w:val="0000FF"/>
          <w:sz w:val="20"/>
          <w:szCs w:val="22"/>
        </w:rPr>
        <w:br w:type="textWrapping"/>
      </w:r>
      <w:r>
        <w:rPr>
          <w:rFonts w:hint="eastAsia" w:ascii="微软雅黑" w:hAnsi="微软雅黑" w:eastAsia="微软雅黑" w:cs="微软雅黑"/>
        </w:rPr>
        <w:t>△项目设计大师</w:t>
      </w:r>
    </w:p>
    <w:p w14:paraId="10A7D55A">
      <w:pPr>
        <w:spacing w:after="156" w:afterLines="50" w:line="360" w:lineRule="auto"/>
        <w:ind w:firstLine="400" w:firstLineChars="200"/>
        <w:rPr>
          <w:rFonts w:hint="eastAsia" w:ascii="微软雅黑" w:hAnsi="微软雅黑" w:eastAsia="微软雅黑" w:cs="微软雅黑"/>
          <w:color w:val="0000FF"/>
          <w:sz w:val="20"/>
          <w:szCs w:val="22"/>
        </w:rPr>
      </w:pPr>
      <w:r>
        <w:rPr>
          <w:rFonts w:hint="eastAsia" w:ascii="微软雅黑" w:hAnsi="微软雅黑" w:eastAsia="微软雅黑" w:cs="微软雅黑"/>
          <w:sz w:val="20"/>
          <w:szCs w:val="22"/>
        </w:rPr>
        <w:t xml:space="preserve"> 依托成都文化脉络与土地属性，在建筑上，提取瘦金风骨，以宋冠翅帽檐、双重描金挑檐等中式手法结合现代审美，打造主城时尚鎏金立面。景观设计上，更是汲取中国四大园林之一的“留园”经典造园手法与宋画风雅之韵，以游园体验结合蜀锦等成都文化元素，营造只有身处其间方能感受到的隐奢的质感与幽静生活氛围。</w:t>
      </w:r>
      <w:r>
        <w:rPr>
          <w:rFonts w:hint="eastAsia" w:ascii="微软雅黑" w:hAnsi="微软雅黑" w:eastAsia="微软雅黑" w:cs="微软雅黑"/>
          <w:sz w:val="20"/>
          <w:szCs w:val="22"/>
        </w:rPr>
        <w:br w:type="textWrapping"/>
      </w:r>
      <w:r>
        <w:rPr>
          <w:rFonts w:hint="eastAsia" w:ascii="微软雅黑" w:hAnsi="微软雅黑" w:eastAsia="微软雅黑" w:cs="微软雅黑"/>
          <w:sz w:val="20"/>
          <w:szCs w:val="22"/>
        </w:rPr>
        <w:drawing>
          <wp:inline distT="0" distB="0" distL="114300" distR="114300">
            <wp:extent cx="5245100" cy="2952750"/>
            <wp:effectExtent l="0" t="0" r="12700" b="0"/>
            <wp:docPr id="5" name="图片 5" descr="微信图片_2024102515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1025151005"/>
                    <pic:cNvPicPr>
                      <a:picLocks noChangeAspect="1"/>
                    </pic:cNvPicPr>
                  </pic:nvPicPr>
                  <pic:blipFill>
                    <a:blip r:embed="rId7"/>
                    <a:stretch>
                      <a:fillRect/>
                    </a:stretch>
                  </pic:blipFill>
                  <pic:spPr>
                    <a:xfrm>
                      <a:off x="0" y="0"/>
                      <a:ext cx="5245100" cy="2952750"/>
                    </a:xfrm>
                    <a:prstGeom prst="rect">
                      <a:avLst/>
                    </a:prstGeom>
                  </pic:spPr>
                </pic:pic>
              </a:graphicData>
            </a:graphic>
          </wp:inline>
        </w:drawing>
      </w:r>
      <w:r>
        <w:rPr>
          <w:rFonts w:hint="eastAsia" w:ascii="微软雅黑" w:hAnsi="微软雅黑" w:eastAsia="微软雅黑" w:cs="微软雅黑"/>
          <w:sz w:val="20"/>
          <w:szCs w:val="22"/>
        </w:rPr>
        <w:br w:type="textWrapping"/>
      </w:r>
      <w:r>
        <w:rPr>
          <w:rFonts w:hint="eastAsia" w:ascii="微软雅黑" w:hAnsi="微软雅黑" w:eastAsia="微软雅黑" w:cs="微软雅黑"/>
        </w:rPr>
        <w:t>△效果图，实际以交付为准</w:t>
      </w:r>
      <w:r>
        <w:rPr>
          <w:rFonts w:hint="eastAsia" w:ascii="微软雅黑" w:hAnsi="微软雅黑" w:eastAsia="微软雅黑" w:cs="微软雅黑"/>
          <w:sz w:val="20"/>
          <w:szCs w:val="22"/>
        </w:rPr>
        <w:br w:type="textWrapping"/>
      </w:r>
      <w:r>
        <w:rPr>
          <w:rFonts w:hint="eastAsia" w:ascii="微软雅黑" w:hAnsi="微软雅黑" w:eastAsia="微软雅黑" w:cs="微软雅黑"/>
          <w:sz w:val="20"/>
          <w:szCs w:val="22"/>
        </w:rPr>
        <w:drawing>
          <wp:inline distT="0" distB="0" distL="114300" distR="114300">
            <wp:extent cx="5259070" cy="3503930"/>
            <wp:effectExtent l="0" t="0" r="17780" b="1270"/>
            <wp:docPr id="7" name="图片 7" descr="DSCF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F2434"/>
                    <pic:cNvPicPr>
                      <a:picLocks noChangeAspect="1"/>
                    </pic:cNvPicPr>
                  </pic:nvPicPr>
                  <pic:blipFill>
                    <a:blip r:embed="rId8"/>
                    <a:stretch>
                      <a:fillRect/>
                    </a:stretch>
                  </pic:blipFill>
                  <pic:spPr>
                    <a:xfrm>
                      <a:off x="0" y="0"/>
                      <a:ext cx="5259070" cy="3503930"/>
                    </a:xfrm>
                    <a:prstGeom prst="rect">
                      <a:avLst/>
                    </a:prstGeom>
                  </pic:spPr>
                </pic:pic>
              </a:graphicData>
            </a:graphic>
          </wp:inline>
        </w:drawing>
      </w:r>
      <w:r>
        <w:rPr>
          <w:rFonts w:hint="eastAsia" w:ascii="微软雅黑" w:hAnsi="微软雅黑" w:eastAsia="微软雅黑" w:cs="微软雅黑"/>
          <w:sz w:val="20"/>
          <w:szCs w:val="22"/>
        </w:rPr>
        <w:br w:type="textWrapping"/>
      </w:r>
      <w:r>
        <w:rPr>
          <w:rFonts w:hint="eastAsia" w:ascii="微软雅黑" w:hAnsi="微软雅黑" w:eastAsia="微软雅黑" w:cs="微软雅黑"/>
        </w:rPr>
        <w:t>△美学示范区实拍图，实际以交付为准</w:t>
      </w:r>
      <w:r>
        <w:rPr>
          <w:rFonts w:hint="eastAsia" w:ascii="微软雅黑" w:hAnsi="微软雅黑" w:eastAsia="微软雅黑" w:cs="微软雅黑"/>
        </w:rPr>
        <w:br w:type="textWrapping"/>
      </w:r>
    </w:p>
    <w:p w14:paraId="11B091C6">
      <w:pPr>
        <w:spacing w:after="156" w:afterLines="50" w:line="360" w:lineRule="auto"/>
        <w:ind w:firstLine="400" w:firstLineChars="200"/>
        <w:rPr>
          <w:rFonts w:hint="eastAsia" w:ascii="微软雅黑" w:hAnsi="微软雅黑" w:eastAsia="微软雅黑" w:cs="微软雅黑"/>
          <w:sz w:val="20"/>
          <w:szCs w:val="22"/>
        </w:rPr>
      </w:pPr>
      <w:r>
        <w:rPr>
          <w:rFonts w:hint="eastAsia" w:ascii="微软雅黑" w:hAnsi="微软雅黑" w:eastAsia="微软雅黑" w:cs="微软雅黑"/>
          <w:sz w:val="20"/>
          <w:szCs w:val="22"/>
        </w:rPr>
        <w:t xml:space="preserve"> 同时，基于越秀成都六载深耕的成都生活理解，越秀·望悦以城市高品位人群的多元生活社交需求为标准，定制约3000㎡三重艺术会所体系，其中涵盖约1400㎡隐悦艺术馆、约1100㎡架空层艺术会所、约500㎡天际会所花园，并引入高阶运动、艺术、私享类打造14大社交生活空间，无论是商务会晤、家族宴请，还是优雅运动、潮流健身等，都将一站式满足隐YUE人物对于主城有型有格的生活所需。</w:t>
      </w:r>
      <w:r>
        <w:rPr>
          <w:rFonts w:hint="eastAsia" w:ascii="微软雅黑" w:hAnsi="微软雅黑" w:eastAsia="微软雅黑" w:cs="微软雅黑"/>
          <w:sz w:val="20"/>
          <w:szCs w:val="22"/>
        </w:rPr>
        <w:br w:type="textWrapping"/>
      </w:r>
      <w:r>
        <w:rPr>
          <w:rFonts w:hint="eastAsia" w:ascii="微软雅黑" w:hAnsi="微软雅黑" w:eastAsia="微软雅黑" w:cs="微软雅黑"/>
          <w:sz w:val="20"/>
          <w:szCs w:val="22"/>
        </w:rPr>
        <w:drawing>
          <wp:inline distT="0" distB="0" distL="114300" distR="114300">
            <wp:extent cx="5259070" cy="3311525"/>
            <wp:effectExtent l="0" t="0" r="17780" b="3175"/>
            <wp:docPr id="8" name="图片 8" descr="DSCF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SCF2684"/>
                    <pic:cNvPicPr>
                      <a:picLocks noChangeAspect="1"/>
                    </pic:cNvPicPr>
                  </pic:nvPicPr>
                  <pic:blipFill>
                    <a:blip r:embed="rId9"/>
                    <a:stretch>
                      <a:fillRect/>
                    </a:stretch>
                  </pic:blipFill>
                  <pic:spPr>
                    <a:xfrm>
                      <a:off x="0" y="0"/>
                      <a:ext cx="5259070" cy="3311525"/>
                    </a:xfrm>
                    <a:prstGeom prst="rect">
                      <a:avLst/>
                    </a:prstGeom>
                  </pic:spPr>
                </pic:pic>
              </a:graphicData>
            </a:graphic>
          </wp:inline>
        </w:drawing>
      </w:r>
    </w:p>
    <w:p w14:paraId="3DD5159F">
      <w:pPr>
        <w:spacing w:after="156" w:afterLines="50" w:line="360" w:lineRule="auto"/>
        <w:rPr>
          <w:rFonts w:hint="eastAsia" w:ascii="微软雅黑" w:hAnsi="微软雅黑" w:eastAsia="微软雅黑" w:cs="微软雅黑"/>
          <w:sz w:val="20"/>
          <w:szCs w:val="22"/>
        </w:rPr>
      </w:pPr>
      <w:r>
        <w:rPr>
          <w:rFonts w:hint="eastAsia" w:ascii="微软雅黑" w:hAnsi="微软雅黑" w:eastAsia="微软雅黑" w:cs="微软雅黑"/>
          <w:sz w:val="20"/>
          <w:szCs w:val="22"/>
        </w:rPr>
        <w:drawing>
          <wp:inline distT="0" distB="0" distL="114300" distR="114300">
            <wp:extent cx="2465705" cy="1528445"/>
            <wp:effectExtent l="0" t="0" r="10795" b="14605"/>
            <wp:docPr id="9" name="图片 9" descr="会所-高尔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会所-高尔夫"/>
                    <pic:cNvPicPr>
                      <a:picLocks noChangeAspect="1"/>
                    </pic:cNvPicPr>
                  </pic:nvPicPr>
                  <pic:blipFill>
                    <a:blip r:embed="rId10"/>
                    <a:stretch>
                      <a:fillRect/>
                    </a:stretch>
                  </pic:blipFill>
                  <pic:spPr>
                    <a:xfrm>
                      <a:off x="0" y="0"/>
                      <a:ext cx="2465705" cy="1528445"/>
                    </a:xfrm>
                    <a:prstGeom prst="rect">
                      <a:avLst/>
                    </a:prstGeom>
                  </pic:spPr>
                </pic:pic>
              </a:graphicData>
            </a:graphic>
          </wp:inline>
        </w:drawing>
      </w:r>
      <w:r>
        <w:rPr>
          <w:rFonts w:hint="eastAsia" w:ascii="微软雅黑" w:hAnsi="微软雅黑" w:eastAsia="微软雅黑" w:cs="微软雅黑"/>
          <w:sz w:val="20"/>
          <w:szCs w:val="22"/>
        </w:rPr>
        <w:drawing>
          <wp:inline distT="0" distB="0" distL="114300" distR="114300">
            <wp:extent cx="2762250" cy="1541145"/>
            <wp:effectExtent l="0" t="0" r="0" b="1905"/>
            <wp:docPr id="10" name="图片 10" descr="会所-壁球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会所-壁球馆"/>
                    <pic:cNvPicPr>
                      <a:picLocks noChangeAspect="1"/>
                    </pic:cNvPicPr>
                  </pic:nvPicPr>
                  <pic:blipFill>
                    <a:blip r:embed="rId11"/>
                    <a:stretch>
                      <a:fillRect/>
                    </a:stretch>
                  </pic:blipFill>
                  <pic:spPr>
                    <a:xfrm>
                      <a:off x="0" y="0"/>
                      <a:ext cx="2762250" cy="1541145"/>
                    </a:xfrm>
                    <a:prstGeom prst="rect">
                      <a:avLst/>
                    </a:prstGeom>
                  </pic:spPr>
                </pic:pic>
              </a:graphicData>
            </a:graphic>
          </wp:inline>
        </w:drawing>
      </w:r>
    </w:p>
    <w:p w14:paraId="32AB538C">
      <w:pPr>
        <w:spacing w:after="156" w:afterLines="50" w:line="360" w:lineRule="auto"/>
        <w:rPr>
          <w:rFonts w:hint="eastAsia" w:ascii="微软雅黑" w:hAnsi="微软雅黑" w:eastAsia="微软雅黑" w:cs="微软雅黑"/>
          <w:sz w:val="20"/>
          <w:szCs w:val="22"/>
        </w:rPr>
      </w:pPr>
      <w:r>
        <w:rPr>
          <w:rFonts w:hint="eastAsia" w:ascii="微软雅黑" w:hAnsi="微软雅黑" w:eastAsia="微软雅黑" w:cs="微软雅黑"/>
          <w:sz w:val="20"/>
          <w:szCs w:val="22"/>
        </w:rPr>
        <w:drawing>
          <wp:inline distT="0" distB="0" distL="114300" distR="114300">
            <wp:extent cx="2538095" cy="1466850"/>
            <wp:effectExtent l="0" t="0" r="14605" b="0"/>
            <wp:docPr id="12" name="图片 12" descr="示范区照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示范区照 (1)"/>
                    <pic:cNvPicPr>
                      <a:picLocks noChangeAspect="1"/>
                    </pic:cNvPicPr>
                  </pic:nvPicPr>
                  <pic:blipFill>
                    <a:blip r:embed="rId12"/>
                    <a:stretch>
                      <a:fillRect/>
                    </a:stretch>
                  </pic:blipFill>
                  <pic:spPr>
                    <a:xfrm>
                      <a:off x="0" y="0"/>
                      <a:ext cx="2538095" cy="1466850"/>
                    </a:xfrm>
                    <a:prstGeom prst="rect">
                      <a:avLst/>
                    </a:prstGeom>
                  </pic:spPr>
                </pic:pic>
              </a:graphicData>
            </a:graphic>
          </wp:inline>
        </w:drawing>
      </w:r>
      <w:r>
        <w:rPr>
          <w:rFonts w:hint="eastAsia" w:ascii="微软雅黑" w:hAnsi="微软雅黑" w:eastAsia="微软雅黑" w:cs="微软雅黑"/>
          <w:sz w:val="20"/>
          <w:szCs w:val="22"/>
        </w:rPr>
        <w:drawing>
          <wp:inline distT="0" distB="0" distL="114300" distR="114300">
            <wp:extent cx="2677795" cy="1786890"/>
            <wp:effectExtent l="0" t="0" r="8255" b="3810"/>
            <wp:docPr id="13" name="图片 13" descr="会所-雪茄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会所-雪茄吧"/>
                    <pic:cNvPicPr>
                      <a:picLocks noChangeAspect="1"/>
                    </pic:cNvPicPr>
                  </pic:nvPicPr>
                  <pic:blipFill>
                    <a:blip r:embed="rId13"/>
                    <a:stretch>
                      <a:fillRect/>
                    </a:stretch>
                  </pic:blipFill>
                  <pic:spPr>
                    <a:xfrm>
                      <a:off x="0" y="0"/>
                      <a:ext cx="2677795" cy="1786890"/>
                    </a:xfrm>
                    <a:prstGeom prst="rect">
                      <a:avLst/>
                    </a:prstGeom>
                  </pic:spPr>
                </pic:pic>
              </a:graphicData>
            </a:graphic>
          </wp:inline>
        </w:drawing>
      </w:r>
      <w:r>
        <w:rPr>
          <w:rFonts w:hint="eastAsia" w:ascii="微软雅黑" w:hAnsi="微软雅黑" w:eastAsia="微软雅黑" w:cs="微软雅黑"/>
          <w:sz w:val="20"/>
          <w:szCs w:val="22"/>
        </w:rPr>
        <w:br w:type="textWrapping"/>
      </w:r>
      <w:r>
        <w:rPr>
          <w:rFonts w:hint="eastAsia" w:ascii="微软雅黑" w:hAnsi="微软雅黑" w:eastAsia="微软雅黑" w:cs="微软雅黑"/>
        </w:rPr>
        <w:t>△实拍图，实际以交付为准</w:t>
      </w:r>
    </w:p>
    <w:p w14:paraId="71B0F314">
      <w:pPr>
        <w:spacing w:after="156" w:afterLines="50" w:line="360" w:lineRule="auto"/>
        <w:ind w:firstLine="400" w:firstLineChars="200"/>
        <w:rPr>
          <w:rFonts w:hint="eastAsia" w:ascii="微软雅黑" w:hAnsi="微软雅黑" w:eastAsia="微软雅黑" w:cs="微软雅黑"/>
          <w:sz w:val="20"/>
          <w:szCs w:val="22"/>
        </w:rPr>
      </w:pPr>
      <w:r>
        <w:rPr>
          <w:rFonts w:hint="eastAsia" w:ascii="微软雅黑" w:hAnsi="微软雅黑" w:eastAsia="微软雅黑" w:cs="微软雅黑"/>
          <w:sz w:val="20"/>
          <w:szCs w:val="22"/>
        </w:rPr>
        <w:t>这样兼具外部时尚潮流与内部高端生活配套融合的型格儫门生活定位，不仅与VK对高品质生活的追求，对个性表达坚持的时尚理念不谋而合，也赢得了高校教授、世界500强企业高管、私营企业主等高知人物的一致选择，每一位隐YUE人物都能在这里找到属于自己的生活方式，无论是沉浸在艺术氛围浓厚的文化空间，还是享受高端的社交生活场景氛围，都能感受到那份由内而外散发的与众不同的生活型格。</w:t>
      </w:r>
    </w:p>
    <w:p w14:paraId="2C6A4293">
      <w:pPr>
        <w:spacing w:after="156" w:afterLines="50" w:line="360" w:lineRule="auto"/>
        <w:ind w:firstLine="400" w:firstLineChars="200"/>
        <w:rPr>
          <w:rFonts w:hint="eastAsia" w:ascii="微软雅黑" w:hAnsi="微软雅黑" w:eastAsia="微软雅黑" w:cs="微软雅黑"/>
          <w:sz w:val="20"/>
          <w:szCs w:val="22"/>
        </w:rPr>
      </w:pPr>
      <w:r>
        <w:rPr>
          <w:rFonts w:hint="eastAsia" w:ascii="微软雅黑" w:hAnsi="微软雅黑" w:eastAsia="微软雅黑" w:cs="微软雅黑"/>
          <w:sz w:val="20"/>
          <w:szCs w:val="22"/>
        </w:rPr>
        <w:br w:type="textWrapping"/>
      </w:r>
      <w:r>
        <w:rPr>
          <w:rFonts w:hint="eastAsia" w:ascii="微软雅黑" w:hAnsi="微软雅黑" w:eastAsia="微软雅黑" w:cs="微软雅黑"/>
          <w:b/>
          <w:bCs/>
          <w:sz w:val="22"/>
          <w:szCs w:val="28"/>
        </w:rPr>
        <w:t>全沉浸式感官盛宴</w:t>
      </w:r>
      <w:r>
        <w:rPr>
          <w:rFonts w:hint="eastAsia" w:ascii="微软雅黑" w:hAnsi="微软雅黑" w:eastAsia="微软雅黑" w:cs="微软雅黑"/>
          <w:b/>
          <w:bCs/>
          <w:sz w:val="22"/>
          <w:szCs w:val="28"/>
        </w:rPr>
        <w:br w:type="textWrapping"/>
      </w:r>
      <w:r>
        <w:rPr>
          <w:rFonts w:hint="eastAsia" w:ascii="微软雅黑" w:hAnsi="微软雅黑" w:eastAsia="微软雅黑" w:cs="微软雅黑"/>
          <w:b/>
          <w:bCs/>
          <w:sz w:val="22"/>
          <w:szCs w:val="28"/>
        </w:rPr>
        <w:t>隐YUE人物，即刻入座</w:t>
      </w:r>
    </w:p>
    <w:p w14:paraId="0388C212">
      <w:pPr>
        <w:spacing w:after="156" w:afterLines="50" w:line="360" w:lineRule="auto"/>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·PART-1 VK绅士时尚大秀</w:t>
      </w:r>
    </w:p>
    <w:p w14:paraId="3089D6A6">
      <w:pPr>
        <w:spacing w:after="156" w:afterLines="50" w:line="360" w:lineRule="auto"/>
        <w:rPr>
          <w:rFonts w:hint="eastAsia" w:ascii="微软雅黑" w:hAnsi="微软雅黑" w:eastAsia="微软雅黑" w:cs="微软雅黑"/>
          <w:b/>
          <w:bCs/>
          <w:sz w:val="20"/>
          <w:szCs w:val="22"/>
        </w:rPr>
      </w:pPr>
      <w:r>
        <w:rPr>
          <w:rFonts w:hint="eastAsia" w:ascii="微软雅黑" w:hAnsi="微软雅黑" w:eastAsia="微软雅黑" w:cs="微软雅黑"/>
          <w:sz w:val="20"/>
          <w:szCs w:val="22"/>
        </w:rPr>
        <w:t>此次，VK将带来品牌最新一季的高定男装系列亮相越秀·望悦，通过一场精彩绝伦的时装秀，展现男士时尚的魅力与风采。模特们身着VK精心设计的服装，以自信的步伐穿梭于光影交错之间，将为现场观众带来恍若置身国际时装周现场的视觉盛宴。</w:t>
      </w:r>
      <w:r>
        <w:rPr>
          <w:rFonts w:hint="eastAsia" w:ascii="微软雅黑" w:hAnsi="微软雅黑" w:eastAsia="微软雅黑" w:cs="微软雅黑"/>
          <w:sz w:val="20"/>
          <w:szCs w:val="22"/>
        </w:rPr>
        <w:br w:type="textWrapping"/>
      </w:r>
      <w:r>
        <w:rPr>
          <w:rFonts w:hint="eastAsia" w:ascii="微软雅黑" w:hAnsi="微软雅黑" w:eastAsia="微软雅黑" w:cs="微软雅黑"/>
          <w:b/>
          <w:bCs/>
          <w:sz w:val="20"/>
          <w:szCs w:val="22"/>
        </w:rPr>
        <w:drawing>
          <wp:inline distT="0" distB="0" distL="114300" distR="114300">
            <wp:extent cx="1667510" cy="2501265"/>
            <wp:effectExtent l="0" t="0" r="8890" b="13335"/>
            <wp:docPr id="14" name="图片 14" descr="c7956b2666f6c959128bd848fd8f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7956b2666f6c959128bd848fd8f6b2"/>
                    <pic:cNvPicPr>
                      <a:picLocks noChangeAspect="1"/>
                    </pic:cNvPicPr>
                  </pic:nvPicPr>
                  <pic:blipFill>
                    <a:blip r:embed="rId14"/>
                    <a:stretch>
                      <a:fillRect/>
                    </a:stretch>
                  </pic:blipFill>
                  <pic:spPr>
                    <a:xfrm>
                      <a:off x="0" y="0"/>
                      <a:ext cx="1667510" cy="2501265"/>
                    </a:xfrm>
                    <a:prstGeom prst="rect">
                      <a:avLst/>
                    </a:prstGeom>
                  </pic:spPr>
                </pic:pic>
              </a:graphicData>
            </a:graphic>
          </wp:inline>
        </w:drawing>
      </w:r>
      <w:r>
        <w:rPr>
          <w:rFonts w:hint="eastAsia" w:ascii="微软雅黑" w:hAnsi="微软雅黑" w:eastAsia="微软雅黑" w:cs="微软雅黑"/>
          <w:b/>
          <w:bCs/>
          <w:sz w:val="20"/>
          <w:szCs w:val="22"/>
        </w:rPr>
        <w:t xml:space="preserve"> </w:t>
      </w:r>
      <w:r>
        <w:rPr>
          <w:rFonts w:hint="eastAsia" w:ascii="微软雅黑" w:hAnsi="微软雅黑" w:eastAsia="微软雅黑" w:cs="微软雅黑"/>
          <w:b/>
          <w:bCs/>
          <w:sz w:val="20"/>
          <w:szCs w:val="22"/>
        </w:rPr>
        <w:drawing>
          <wp:inline distT="0" distB="0" distL="114300" distR="114300">
            <wp:extent cx="1668145" cy="2502535"/>
            <wp:effectExtent l="0" t="0" r="8255" b="12065"/>
            <wp:docPr id="15" name="图片 15" descr="bddd1db053693f4851a12e010a3ec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bddd1db053693f4851a12e010a3ec4f"/>
                    <pic:cNvPicPr>
                      <a:picLocks noChangeAspect="1"/>
                    </pic:cNvPicPr>
                  </pic:nvPicPr>
                  <pic:blipFill>
                    <a:blip r:embed="rId15"/>
                    <a:stretch>
                      <a:fillRect/>
                    </a:stretch>
                  </pic:blipFill>
                  <pic:spPr>
                    <a:xfrm>
                      <a:off x="0" y="0"/>
                      <a:ext cx="1668145" cy="2502535"/>
                    </a:xfrm>
                    <a:prstGeom prst="rect">
                      <a:avLst/>
                    </a:prstGeom>
                  </pic:spPr>
                </pic:pic>
              </a:graphicData>
            </a:graphic>
          </wp:inline>
        </w:drawing>
      </w:r>
    </w:p>
    <w:p w14:paraId="32FC7B4B">
      <w:pPr>
        <w:spacing w:after="156" w:afterLines="50" w:line="360" w:lineRule="auto"/>
        <w:rPr>
          <w:rFonts w:hint="eastAsia" w:ascii="微软雅黑" w:hAnsi="微软雅黑" w:eastAsia="微软雅黑" w:cs="微软雅黑"/>
          <w:b/>
          <w:bCs/>
          <w:sz w:val="20"/>
          <w:szCs w:val="22"/>
        </w:rPr>
      </w:pPr>
      <w:r>
        <w:rPr>
          <w:rFonts w:hint="eastAsia" w:ascii="微软雅黑" w:hAnsi="微软雅黑" w:eastAsia="微软雅黑" w:cs="微软雅黑"/>
        </w:rPr>
        <w:t>△意境图</w:t>
      </w:r>
    </w:p>
    <w:p w14:paraId="1B12AFAF">
      <w:pPr>
        <w:spacing w:after="156" w:afterLines="50" w:line="360" w:lineRule="auto"/>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·PART-2 隐YUE-CLUB社群发布会</w:t>
      </w:r>
    </w:p>
    <w:p w14:paraId="36EA9255">
      <w:pPr>
        <w:spacing w:after="156" w:afterLines="50" w:line="360" w:lineRule="auto"/>
        <w:rPr>
          <w:rFonts w:hint="eastAsia" w:ascii="微软雅黑" w:hAnsi="微软雅黑" w:eastAsia="微软雅黑" w:cs="微软雅黑"/>
          <w:sz w:val="20"/>
          <w:szCs w:val="22"/>
        </w:rPr>
      </w:pPr>
      <w:r>
        <w:rPr>
          <w:rFonts w:hint="eastAsia" w:ascii="微软雅黑" w:hAnsi="微软雅黑" w:eastAsia="微软雅黑" w:cs="微软雅黑"/>
          <w:sz w:val="20"/>
          <w:szCs w:val="22"/>
        </w:rPr>
        <w:t>高端生活不仅是物质上的享受，更是精神上的共鸣与交流。越秀·望悦特别定制越秀成都高端生活社群——隐YUE-CLUB，旨为有着相同生活追求与</w:t>
      </w:r>
      <w:r>
        <w:rPr>
          <w:rFonts w:hint="eastAsia" w:ascii="微软雅黑" w:hAnsi="微软雅黑" w:eastAsia="微软雅黑" w:cs="微软雅黑"/>
          <w:sz w:val="20"/>
          <w:szCs w:val="22"/>
          <w:lang w:eastAsia="zh-CN"/>
        </w:rPr>
        <w:t>审美品位</w:t>
      </w:r>
      <w:r>
        <w:rPr>
          <w:rFonts w:hint="eastAsia" w:ascii="微软雅黑" w:hAnsi="微软雅黑" w:eastAsia="微软雅黑" w:cs="微软雅黑"/>
          <w:sz w:val="20"/>
          <w:szCs w:val="22"/>
        </w:rPr>
        <w:t>的隐YUE型格人物提供一个交流思想、分享生活的平台，社群权益同步上线，敬请期待！</w:t>
      </w:r>
    </w:p>
    <w:p w14:paraId="5FFCA4D6">
      <w:pPr>
        <w:spacing w:after="156" w:afterLines="50" w:line="360" w:lineRule="auto"/>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·PART-3 法国进口红酒品鉴</w:t>
      </w:r>
    </w:p>
    <w:p w14:paraId="7A4C9D66">
      <w:pPr>
        <w:spacing w:line="360" w:lineRule="auto"/>
        <w:jc w:val="left"/>
        <w:rPr>
          <w:rFonts w:hint="eastAsia" w:ascii="微软雅黑" w:hAnsi="微软雅黑" w:eastAsia="微软雅黑" w:cs="微软雅黑"/>
          <w:sz w:val="20"/>
          <w:szCs w:val="22"/>
        </w:rPr>
      </w:pPr>
      <w:r>
        <w:rPr>
          <w:rFonts w:hint="eastAsia" w:ascii="微软雅黑" w:hAnsi="微软雅黑" w:eastAsia="微软雅黑" w:cs="微软雅黑"/>
          <w:sz w:val="20"/>
          <w:szCs w:val="22"/>
        </w:rPr>
        <w:t>法国进口赤霞干红葡萄酒的独特风味，雪茄的醇厚口感，两种截然不同但同样精致的风味在舌尖交织，专业品鉴师邀您即刻开启一场味觉的混搭盛宴。</w:t>
      </w:r>
      <w:r>
        <w:rPr>
          <w:rFonts w:hint="eastAsia" w:ascii="微软雅黑" w:hAnsi="微软雅黑" w:eastAsia="微软雅黑" w:cs="微软雅黑"/>
          <w:sz w:val="20"/>
          <w:szCs w:val="22"/>
        </w:rPr>
        <w:br w:type="textWrapping"/>
      </w:r>
    </w:p>
    <w:p w14:paraId="683F5554">
      <w:pPr>
        <w:spacing w:after="156" w:afterLines="50" w:line="360" w:lineRule="auto"/>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·PART-4 大牌奢品儫礼抽奖</w:t>
      </w:r>
    </w:p>
    <w:p w14:paraId="60B95A58">
      <w:pPr>
        <w:spacing w:after="156" w:afterLines="50" w:line="360" w:lineRule="auto"/>
        <w:rPr>
          <w:rFonts w:hint="eastAsia" w:ascii="微软雅黑" w:hAnsi="微软雅黑" w:eastAsia="微软雅黑" w:cs="微软雅黑"/>
          <w:sz w:val="20"/>
          <w:szCs w:val="22"/>
        </w:rPr>
      </w:pPr>
      <w:r>
        <w:rPr>
          <w:rFonts w:hint="eastAsia" w:ascii="微软雅黑" w:hAnsi="微软雅黑" w:eastAsia="微软雅黑" w:cs="微软雅黑"/>
          <w:sz w:val="20"/>
          <w:szCs w:val="22"/>
        </w:rPr>
        <w:t>多轮惊喜抽奖，人头马洋酒、阿玛尼领带、古驰香水</w:t>
      </w:r>
      <w:r>
        <w:rPr>
          <w:rFonts w:hint="eastAsia" w:ascii="微软雅黑" w:hAnsi="微软雅黑" w:eastAsia="微软雅黑" w:cs="微软雅黑"/>
          <w:sz w:val="20"/>
          <w:szCs w:val="22"/>
          <w:lang w:eastAsia="zh-CN"/>
        </w:rPr>
        <w:t>……</w:t>
      </w:r>
      <w:r>
        <w:rPr>
          <w:rFonts w:hint="eastAsia" w:ascii="微软雅黑" w:hAnsi="微软雅黑" w:eastAsia="微软雅黑" w:cs="微软雅黑"/>
          <w:sz w:val="20"/>
          <w:szCs w:val="22"/>
        </w:rPr>
        <w:t>奢品大牌限定儫礼，更多惊喜礼遇等您来抽！</w:t>
      </w:r>
      <w:r>
        <w:rPr>
          <w:rFonts w:hint="eastAsia" w:ascii="微软雅黑" w:hAnsi="微软雅黑" w:eastAsia="微软雅黑" w:cs="微软雅黑"/>
          <w:sz w:val="20"/>
          <w:szCs w:val="22"/>
        </w:rPr>
        <w:br w:type="textWrapping"/>
      </w:r>
      <w:r>
        <w:rPr>
          <w:rFonts w:hint="eastAsia" w:ascii="微软雅黑" w:hAnsi="微软雅黑" w:eastAsia="微软雅黑" w:cs="微软雅黑"/>
        </w:rPr>
        <w:drawing>
          <wp:inline distT="0" distB="0" distL="114300" distR="114300">
            <wp:extent cx="3156585" cy="3827780"/>
            <wp:effectExtent l="0" t="0" r="5715" b="1270"/>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16"/>
                    <a:stretch>
                      <a:fillRect/>
                    </a:stretch>
                  </pic:blipFill>
                  <pic:spPr>
                    <a:xfrm>
                      <a:off x="0" y="0"/>
                      <a:ext cx="3156585" cy="3827780"/>
                    </a:xfrm>
                    <a:prstGeom prst="rect">
                      <a:avLst/>
                    </a:prstGeom>
                  </pic:spPr>
                </pic:pic>
              </a:graphicData>
            </a:graphic>
          </wp:inline>
        </w:drawing>
      </w:r>
      <w:r>
        <w:rPr>
          <w:rFonts w:hint="eastAsia" w:ascii="微软雅黑" w:hAnsi="微软雅黑" w:eastAsia="微软雅黑" w:cs="微软雅黑"/>
        </w:rPr>
        <w:br w:type="textWrapping"/>
      </w:r>
      <w:r>
        <w:rPr>
          <w:rFonts w:hint="eastAsia" w:ascii="微软雅黑" w:hAnsi="微软雅黑" w:eastAsia="微软雅黑" w:cs="微软雅黑"/>
        </w:rPr>
        <w:t>△图片仅供示意，以现场实物为准</w:t>
      </w:r>
    </w:p>
    <w:p w14:paraId="41CBD236">
      <w:pPr>
        <w:spacing w:after="156" w:afterLines="50" w:line="360" w:lineRule="auto"/>
        <w:rPr>
          <w:rFonts w:hint="eastAsia" w:ascii="微软雅黑" w:hAnsi="微软雅黑" w:eastAsia="微软雅黑" w:cs="微软雅黑"/>
          <w:b/>
          <w:bCs/>
          <w:sz w:val="24"/>
          <w:szCs w:val="32"/>
        </w:rPr>
      </w:pPr>
      <w:r>
        <w:rPr>
          <w:rFonts w:hint="eastAsia" w:ascii="微软雅黑" w:hAnsi="微软雅黑" w:eastAsia="微软雅黑" w:cs="微软雅黑"/>
          <w:sz w:val="20"/>
          <w:szCs w:val="22"/>
        </w:rPr>
        <w:t>一场关于时尚、</w:t>
      </w:r>
      <w:r>
        <w:rPr>
          <w:rFonts w:hint="eastAsia" w:ascii="微软雅黑" w:hAnsi="微软雅黑" w:eastAsia="微软雅黑" w:cs="微软雅黑"/>
          <w:sz w:val="20"/>
          <w:szCs w:val="22"/>
          <w:lang w:eastAsia="zh-CN"/>
        </w:rPr>
        <w:t>品位与</w:t>
      </w:r>
      <w:bookmarkStart w:id="0" w:name="_GoBack"/>
      <w:bookmarkEnd w:id="0"/>
      <w:r>
        <w:rPr>
          <w:rFonts w:hint="eastAsia" w:ascii="微软雅黑" w:hAnsi="微软雅黑" w:eastAsia="微软雅黑" w:cs="微软雅黑"/>
          <w:sz w:val="20"/>
          <w:szCs w:val="22"/>
        </w:rPr>
        <w:t>型格儫门生活哲学的跨界盛宴，即将拉开帷幕！11月16日，越秀·望悦“隐YUE人物之夜——VK高定秀场酒会”盛大启幕！在此，诚挚邀请每一位热爱生活、追求品质的隐YUE人物，在这个充满惊喜与期待的夜晚，共赴一场沉浸式感官盛宴。</w:t>
      </w:r>
      <w:r>
        <w:rPr>
          <w:rFonts w:hint="eastAsia" w:ascii="微软雅黑" w:hAnsi="微软雅黑" w:eastAsia="微软雅黑" w:cs="微软雅黑"/>
          <w:sz w:val="20"/>
          <w:szCs w:val="22"/>
        </w:rPr>
        <w:br w:type="textWrapping"/>
      </w:r>
      <w:r>
        <w:rPr>
          <w:rFonts w:hint="eastAsia" w:ascii="微软雅黑" w:hAnsi="微软雅黑" w:eastAsia="微软雅黑" w:cs="微软雅黑"/>
          <w:sz w:val="20"/>
          <w:szCs w:val="22"/>
        </w:rPr>
        <w:t>万象城旁·成都型格儫门，越秀·望悦邀您不见不散！</w:t>
      </w:r>
    </w:p>
    <w:p w14:paraId="434C3F34">
      <w:pPr>
        <w:spacing w:after="156" w:afterLines="50"/>
        <w:jc w:val="center"/>
        <w:rPr>
          <w:rFonts w:hint="eastAsia" w:ascii="微软雅黑" w:hAnsi="微软雅黑" w:eastAsia="微软雅黑" w:cs="微软雅黑"/>
          <w:sz w:val="20"/>
          <w:szCs w:val="22"/>
        </w:rPr>
      </w:pPr>
      <w:r>
        <w:rPr>
          <w:rFonts w:hint="eastAsia" w:ascii="微软雅黑" w:hAnsi="微软雅黑" w:eastAsia="微软雅黑" w:cs="微软雅黑"/>
          <w:b/>
          <w:bCs/>
          <w:sz w:val="24"/>
          <w:szCs w:val="32"/>
        </w:rPr>
        <w:t>成都型格 秀在望悦</w:t>
      </w:r>
      <w:r>
        <w:rPr>
          <w:rFonts w:hint="eastAsia" w:ascii="微软雅黑" w:hAnsi="微软雅黑" w:eastAsia="微软雅黑" w:cs="微软雅黑"/>
          <w:b/>
          <w:bCs/>
          <w:sz w:val="24"/>
          <w:szCs w:val="32"/>
        </w:rPr>
        <w:br w:type="textWrapping"/>
      </w:r>
      <w:r>
        <w:rPr>
          <w:rFonts w:hint="eastAsia" w:ascii="微软雅黑" w:hAnsi="微软雅黑" w:eastAsia="微软雅黑" w:cs="微软雅黑"/>
          <w:sz w:val="20"/>
          <w:szCs w:val="22"/>
        </w:rPr>
        <w:t>/TIME/ 2024/11/16 18</w:t>
      </w:r>
      <w:r>
        <w:rPr>
          <w:rFonts w:hint="eastAsia" w:ascii="微软雅黑" w:hAnsi="微软雅黑" w:eastAsia="微软雅黑" w:cs="微软雅黑"/>
          <w:sz w:val="20"/>
          <w:szCs w:val="22"/>
          <w:lang w:eastAsia="zh-CN"/>
        </w:rPr>
        <w:t>：</w:t>
      </w:r>
      <w:r>
        <w:rPr>
          <w:rFonts w:hint="eastAsia" w:ascii="微软雅黑" w:hAnsi="微软雅黑" w:eastAsia="微软雅黑" w:cs="微软雅黑"/>
          <w:sz w:val="20"/>
          <w:szCs w:val="22"/>
        </w:rPr>
        <w:t>00   /ADD/越秀·望悦 隐悦艺术馆</w:t>
      </w:r>
    </w:p>
    <w:p w14:paraId="5F2182B5">
      <w:pPr>
        <w:spacing w:after="156" w:afterLines="50"/>
        <w:jc w:val="center"/>
        <w:rPr>
          <w:rFonts w:hint="eastAsia" w:ascii="微软雅黑" w:hAnsi="微软雅黑" w:eastAsia="微软雅黑" w:cs="微软雅黑"/>
          <w:color w:val="0000FF"/>
          <w:sz w:val="20"/>
          <w:szCs w:val="22"/>
        </w:rPr>
      </w:pPr>
      <w:r>
        <w:rPr>
          <w:rFonts w:hint="eastAsia" w:ascii="微软雅黑" w:hAnsi="微软雅黑" w:eastAsia="微软雅黑" w:cs="微软雅黑"/>
          <w:color w:val="0000FF"/>
          <w:sz w:val="20"/>
          <w:szCs w:val="22"/>
        </w:rPr>
        <w:t>——</w:t>
      </w:r>
    </w:p>
    <w:p w14:paraId="23A04B46">
      <w:pPr>
        <w:spacing w:after="156" w:afterLines="50"/>
        <w:jc w:val="center"/>
        <w:rPr>
          <w:rFonts w:hint="eastAsia" w:ascii="微软雅黑" w:hAnsi="微软雅黑" w:eastAsia="微软雅黑" w:cs="微软雅黑"/>
          <w:color w:val="0000FF"/>
          <w:sz w:val="20"/>
          <w:szCs w:val="22"/>
        </w:rPr>
      </w:pPr>
      <w:r>
        <w:rPr>
          <w:rFonts w:hint="eastAsia" w:ascii="微软雅黑" w:hAnsi="微软雅黑" w:eastAsia="微软雅黑" w:cs="微软雅黑"/>
          <w:color w:val="0000FF"/>
          <w:sz w:val="20"/>
          <w:szCs w:val="22"/>
          <w:vertAlign w:val="subscript"/>
        </w:rPr>
        <w:t>建面约</w:t>
      </w:r>
      <w:r>
        <w:rPr>
          <w:rFonts w:hint="eastAsia" w:ascii="微软雅黑" w:hAnsi="微软雅黑" w:eastAsia="微软雅黑" w:cs="微软雅黑"/>
          <w:color w:val="0000FF"/>
          <w:sz w:val="20"/>
          <w:szCs w:val="22"/>
        </w:rPr>
        <w:t>143㎡七层真洋房丨仅此14席·新品发售</w:t>
      </w:r>
    </w:p>
    <w:p w14:paraId="57747706">
      <w:pPr>
        <w:spacing w:after="156" w:afterLines="50"/>
        <w:jc w:val="center"/>
        <w:rPr>
          <w:rFonts w:hint="eastAsia" w:ascii="微软雅黑" w:hAnsi="微软雅黑" w:eastAsia="微软雅黑" w:cs="微软雅黑"/>
          <w:color w:val="0000FF"/>
          <w:sz w:val="20"/>
          <w:szCs w:val="22"/>
        </w:rPr>
      </w:pPr>
      <w:r>
        <w:rPr>
          <w:rFonts w:hint="eastAsia" w:ascii="微软雅黑" w:hAnsi="微软雅黑" w:eastAsia="微软雅黑" w:cs="微软雅黑"/>
          <w:color w:val="0000FF"/>
          <w:sz w:val="20"/>
          <w:szCs w:val="22"/>
          <w:vertAlign w:val="subscript"/>
        </w:rPr>
        <w:t>建面约</w:t>
      </w:r>
      <w:r>
        <w:rPr>
          <w:rFonts w:hint="eastAsia" w:ascii="微软雅黑" w:hAnsi="微软雅黑" w:eastAsia="微软雅黑" w:cs="微软雅黑"/>
          <w:color w:val="0000FF"/>
          <w:sz w:val="20"/>
          <w:szCs w:val="22"/>
        </w:rPr>
        <w:t>185㎡/143㎡高定隐奢平墅丨全城热销中</w:t>
      </w:r>
    </w:p>
    <w:p w14:paraId="23B3E0D9">
      <w:pPr>
        <w:spacing w:after="156" w:afterLines="50"/>
        <w:jc w:val="center"/>
        <w:rPr>
          <w:rFonts w:hint="eastAsia" w:ascii="微软雅黑" w:hAnsi="微软雅黑" w:eastAsia="微软雅黑" w:cs="微软雅黑"/>
          <w:color w:val="0000FF"/>
          <w:sz w:val="20"/>
          <w:szCs w:val="22"/>
        </w:rPr>
      </w:pPr>
    </w:p>
    <w:p w14:paraId="28EC03C9">
      <w:pPr>
        <w:spacing w:after="156" w:afterLines="50"/>
        <w:jc w:val="center"/>
        <w:rPr>
          <w:rFonts w:hint="eastAsia" w:ascii="微软雅黑" w:hAnsi="微软雅黑" w:eastAsia="微软雅黑" w:cs="微软雅黑"/>
          <w:color w:val="0000FF"/>
          <w:sz w:val="20"/>
          <w:szCs w:val="22"/>
        </w:rPr>
      </w:pPr>
      <w:r>
        <w:rPr>
          <w:rFonts w:hint="eastAsia" w:ascii="微软雅黑" w:hAnsi="微软雅黑" w:eastAsia="微软雅黑" w:cs="微软雅黑"/>
          <w:color w:val="0000FF"/>
          <w:sz w:val="20"/>
          <w:szCs w:val="22"/>
          <w:highlight w:val="yellow"/>
        </w:rPr>
        <w:t>咨询热线：028-88860006</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2040204020203"/>
    <w:charset w:val="86"/>
    <w:family w:val="swiss"/>
    <w:pitch w:val="default"/>
    <w:sig w:usb0="A00002BF" w:usb1="2ACF7CFB" w:usb2="00000016" w:usb3="00000000" w:csb0="2004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xNjlkODI4M2E3NmJhYWI5NTIwNGQ3MDVlNmRiZWIifQ=="/>
  </w:docVars>
  <w:rsids>
    <w:rsidRoot w:val="00313922"/>
    <w:rsid w:val="0011400F"/>
    <w:rsid w:val="001303F8"/>
    <w:rsid w:val="001D19CC"/>
    <w:rsid w:val="001D4229"/>
    <w:rsid w:val="00200D33"/>
    <w:rsid w:val="00241ACB"/>
    <w:rsid w:val="003016E9"/>
    <w:rsid w:val="00313922"/>
    <w:rsid w:val="00374C90"/>
    <w:rsid w:val="003B169E"/>
    <w:rsid w:val="004A69D5"/>
    <w:rsid w:val="004B0BD5"/>
    <w:rsid w:val="005407FD"/>
    <w:rsid w:val="005D6F4D"/>
    <w:rsid w:val="005F6821"/>
    <w:rsid w:val="00607669"/>
    <w:rsid w:val="006B108C"/>
    <w:rsid w:val="007C6EF7"/>
    <w:rsid w:val="007D0837"/>
    <w:rsid w:val="007F3B8B"/>
    <w:rsid w:val="00887A39"/>
    <w:rsid w:val="0097648A"/>
    <w:rsid w:val="009E5793"/>
    <w:rsid w:val="00A63233"/>
    <w:rsid w:val="00A910CA"/>
    <w:rsid w:val="00AD7050"/>
    <w:rsid w:val="00B06747"/>
    <w:rsid w:val="00C22783"/>
    <w:rsid w:val="00C51322"/>
    <w:rsid w:val="00CB6091"/>
    <w:rsid w:val="00D818E7"/>
    <w:rsid w:val="00D85955"/>
    <w:rsid w:val="00D9115F"/>
    <w:rsid w:val="00DE1665"/>
    <w:rsid w:val="00E25855"/>
    <w:rsid w:val="00EE2391"/>
    <w:rsid w:val="00FD1911"/>
    <w:rsid w:val="00FE6DB2"/>
    <w:rsid w:val="04190C62"/>
    <w:rsid w:val="0A4F05E9"/>
    <w:rsid w:val="0C5838C8"/>
    <w:rsid w:val="25901C32"/>
    <w:rsid w:val="51233D85"/>
    <w:rsid w:val="515D5589"/>
    <w:rsid w:val="51972D9D"/>
    <w:rsid w:val="52B84424"/>
    <w:rsid w:val="62D276EB"/>
    <w:rsid w:val="7537175E"/>
    <w:rsid w:val="76F55F82"/>
    <w:rsid w:val="7EF61A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qFormat/>
    <w:uiPriority w:val="0"/>
    <w:pPr>
      <w:tabs>
        <w:tab w:val="center" w:pos="4153"/>
        <w:tab w:val="right" w:pos="8306"/>
      </w:tabs>
      <w:snapToGrid w:val="0"/>
      <w:jc w:val="left"/>
    </w:pPr>
    <w:rPr>
      <w:sz w:val="18"/>
      <w:szCs w:val="18"/>
    </w:rPr>
  </w:style>
  <w:style w:type="paragraph" w:styleId="3">
    <w:name w:val="header"/>
    <w:basedOn w:val="1"/>
    <w:link w:val="9"/>
    <w:qFormat/>
    <w:uiPriority w:val="0"/>
    <w:pP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Emphasis"/>
    <w:basedOn w:val="6"/>
    <w:qFormat/>
    <w:uiPriority w:val="0"/>
    <w:rPr>
      <w:i/>
    </w:rPr>
  </w:style>
  <w:style w:type="paragraph" w:styleId="8">
    <w:name w:val="List Paragraph"/>
    <w:basedOn w:val="1"/>
    <w:qFormat/>
    <w:uiPriority w:val="34"/>
    <w:pPr>
      <w:ind w:firstLine="420" w:firstLineChars="200"/>
    </w:pPr>
  </w:style>
  <w:style w:type="character" w:customStyle="1" w:styleId="9">
    <w:name w:val="页眉 字符"/>
    <w:basedOn w:val="6"/>
    <w:link w:val="3"/>
    <w:qFormat/>
    <w:uiPriority w:val="0"/>
    <w:rPr>
      <w:rFonts w:asciiTheme="minorHAnsi" w:hAnsiTheme="minorHAnsi" w:eastAsiaTheme="minorEastAsia" w:cstheme="minorBidi"/>
      <w:kern w:val="2"/>
      <w:sz w:val="18"/>
      <w:szCs w:val="18"/>
    </w:rPr>
  </w:style>
  <w:style w:type="character" w:customStyle="1" w:styleId="10">
    <w:name w:val="页脚 字符"/>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2234</Words>
  <Characters>2425</Characters>
  <Lines>18</Lines>
  <Paragraphs>5</Paragraphs>
  <TotalTime>1</TotalTime>
  <ScaleCrop>false</ScaleCrop>
  <LinksUpToDate>false</LinksUpToDate>
  <CharactersWithSpaces>2487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2024-11-13T03:40:00Z</dcterms:created>
  <dc:creator>A</dc:creator>
  <cp:lastModifiedBy>TORRRRRY</cp:lastModifiedBy>
  <dcterms:modified xsi:type="dcterms:W3CDTF">2024-11-13T06:40:28Z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8721606460BB4FF6A6B80CB1DDB1F78C_13</vt:lpwstr>
  </property>
</Properties>
</file>