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5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82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82"/>
          <w:sz w:val="44"/>
          <w:szCs w:val="44"/>
          <w:shd w:val="clear" w:fill="FFFFFF"/>
          <w:lang w:eastAsia="zh-CN"/>
        </w:rPr>
        <w:t>纵深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82"/>
          <w:sz w:val="44"/>
          <w:szCs w:val="44"/>
          <w:shd w:val="clear" w:fill="FFFFFF"/>
        </w:rPr>
        <w:t>推进“双随机、一公开”监管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82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82"/>
          <w:sz w:val="44"/>
          <w:szCs w:val="44"/>
          <w:shd w:val="clear" w:fill="FFFFFF"/>
          <w:lang w:eastAsia="zh-CN"/>
        </w:rPr>
        <w:t>护航平安不止步</w:t>
      </w:r>
    </w:p>
    <w:p w14:paraId="7383C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——南充市嘉陵区应急管理局和市场监管局开展安全生产联合执法检查</w:t>
      </w:r>
    </w:p>
    <w:p w14:paraId="5278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A1F2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深入推进跨部门综合监管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，进一步提升监管效能，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优化营商环境，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11月12日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南充市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嘉陵区应急管理局和市场监管局对工业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企业开展安全生产联合双随机专项执法检查。</w:t>
      </w:r>
    </w:p>
    <w:p w14:paraId="701B2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</w:rPr>
        <w:t>此次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</w:rPr>
        <w:t>通过智能系统随机抽取了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eastAsia="zh-CN"/>
        </w:rPr>
        <w:t>南充港投石化能源有限公司和南充远锦气体有限公司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</w:rPr>
        <w:t>家企业作为检查对象，随机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eastAsia="zh-CN"/>
        </w:rPr>
        <w:t>选派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</w:rPr>
        <w:t>4名专业执法人员参与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eastAsia="zh-CN"/>
        </w:rPr>
        <w:t>检查。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</w:rPr>
        <w:t>检查组依据各自部门法律法规及职责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职能，对照抽查事项清单，通过实地查看、现场询问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查阅档案资料等方式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，重点检查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val="en-US" w:eastAsia="zh-CN"/>
        </w:rPr>
        <w:t>特殊作业管理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28"/>
          <w:szCs w:val="28"/>
          <w:lang w:val="en-US" w:eastAsia="zh-CN"/>
        </w:rPr>
        <w:t>制度是否落实、工艺控制指标是否制定、全员安全生产责任制是否建立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、特种设备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是否办理使用登记、设备是否在有效期内、作业人员是否持证上岗和是否落实“日管控、周排查、月调度”机制制度等事项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2CC1FF3F"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556760" cy="3416935"/>
            <wp:effectExtent l="0" t="0" r="15240" b="12065"/>
            <wp:docPr id="1" name="图片 1" descr="bff91be7c4c64723e4edab1a24c1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f91be7c4c64723e4edab1a24c1e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E5C6">
      <w:pPr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此次联合检查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实现了“进一次门、查多项事”，进一步提高了执法检查效率和监管效能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针对检查发现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问题，嘉陵区应急管理局和市场监管局要求企业立即整改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227694AC"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10101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695825" cy="3522345"/>
            <wp:effectExtent l="0" t="0" r="9525" b="1905"/>
            <wp:docPr id="3" name="图片 3" descr="a76e441bcb727554f8fd4665877f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6e441bcb727554f8fd4665877fa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7B04">
      <w:pPr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下一步，嘉陵区应急管理局和市场监管局将持续跟踪整改情况，确保整改闭环，坚决防范遏制各类安全生产事故，为嘉陵区高质量发展营造安全稳定的环境。</w:t>
      </w:r>
    </w:p>
    <w:p w14:paraId="631D92F4">
      <w:pPr>
        <w:ind w:firstLine="560" w:firstLineChars="200"/>
        <w:jc w:val="right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何鑫怡 全媒体记者 李静玮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504</Characters>
  <Lines>0</Lines>
  <Paragraphs>0</Paragraphs>
  <TotalTime>1</TotalTime>
  <ScaleCrop>false</ScaleCrop>
  <LinksUpToDate>false</LinksUpToDate>
  <CharactersWithSpaces>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2024-11-13T09:59:00Z</dcterms:created>
  <dc:creator>Administrator</dc:creator>
  <cp:lastModifiedBy>TORRRRRY</cp:lastModifiedBy>
  <dcterms:modified xsi:type="dcterms:W3CDTF">2024-11-20T07:32:58Z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ED3B6A3EF85E48B09A22F6D2404E9A87_13</vt:lpwstr>
  </property>
</Properties>
</file>