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6AEB37">
      <w:pPr>
        <w:rPr>
          <w:rFonts w:hint="eastAsia"/>
        </w:rPr>
      </w:pPr>
    </w:p>
    <w:p w14:paraId="61CE6057">
      <w:pPr>
        <w:jc w:val="center"/>
        <w:rPr>
          <w:rFonts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招商蛇口 匠筑封面生活</w:t>
      </w:r>
    </w:p>
    <w:p w14:paraId="4552CEC2">
      <w:pPr>
        <w:jc w:val="center"/>
        <w:rPr>
          <w:rFonts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约277㎡</w:t>
      </w:r>
      <w:r>
        <w:rPr>
          <w:rFonts w:hint="eastAsia" w:ascii="微软雅黑" w:hAnsi="微软雅黑" w:eastAsia="微软雅黑" w:cs="微软雅黑"/>
          <w:b/>
          <w:bCs/>
          <w:sz w:val="16"/>
          <w:szCs w:val="40"/>
        </w:rPr>
        <w:t>（建面约）</w:t>
      </w: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翎峯藏品 即将压轴面世</w:t>
      </w:r>
    </w:p>
    <w:p w14:paraId="14D2CA90">
      <w:pPr>
        <w:ind w:firstLine="2600" w:firstLineChars="13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200279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2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A0DE">
      <w:pPr>
        <w:rPr>
          <w:rFonts w:ascii="微软雅黑" w:hAnsi="微软雅黑" w:eastAsia="微软雅黑" w:cs="微软雅黑"/>
          <w:sz w:val="20"/>
          <w:szCs w:val="20"/>
        </w:rPr>
      </w:pPr>
    </w:p>
    <w:p w14:paraId="3A756B72">
      <w:pPr>
        <w:jc w:val="center"/>
        <w:rPr>
          <w:rFonts w:ascii="微软雅黑" w:hAnsi="微软雅黑" w:eastAsia="微软雅黑" w:cs="微软雅黑"/>
          <w:sz w:val="20"/>
          <w:szCs w:val="20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u w:val="single"/>
        </w:rPr>
        <w:t>招商蛇口 以豪宅兑现力成就美好</w:t>
      </w:r>
    </w:p>
    <w:p w14:paraId="45A7C590">
      <w:pPr>
        <w:rPr>
          <w:rFonts w:ascii="微软雅黑" w:hAnsi="微软雅黑" w:eastAsia="微软雅黑" w:cs="微软雅黑"/>
          <w:sz w:val="20"/>
          <w:szCs w:val="20"/>
        </w:rPr>
      </w:pPr>
    </w:p>
    <w:p w14:paraId="5052F449">
      <w:pPr>
        <w:widowControl/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招商蛇口，作为高端人居建造者， 2024于成都筑就时代传奇恒产——招商·翎雲阁，于天府CBP之上，与约396米、约300米双塔地标同框，成为成都面向世界的城市豪宅代表之一。</w:t>
      </w:r>
    </w:p>
    <w:p w14:paraId="19727F98">
      <w:pPr>
        <w:rPr>
          <w:rFonts w:ascii="微软雅黑" w:hAnsi="微软雅黑" w:eastAsia="微软雅黑" w:cs="微软雅黑"/>
          <w:sz w:val="20"/>
          <w:szCs w:val="20"/>
        </w:rPr>
      </w:pPr>
    </w:p>
    <w:p w14:paraId="5895B359">
      <w:pPr>
        <w:widowControl/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招商·翎雲阁凭借卓越的产品表现俘获行业高美誉度，荣获2024 年度克而瑞全国十大轻奢作品，同时，在国际上亦斩获殊荣，获得2024伦敦国际设计奖金奖。</w:t>
      </w:r>
    </w:p>
    <w:p w14:paraId="020E41F7">
      <w:pPr>
        <w:widowControl/>
        <w:jc w:val="center"/>
        <w:rPr>
          <w:rStyle w:val="9"/>
          <w:rFonts w:ascii="微软雅黑" w:hAnsi="微软雅黑" w:eastAsia="微软雅黑" w:cs="微软雅黑"/>
          <w:color w:val="FF0000"/>
          <w:kern w:val="0"/>
          <w:sz w:val="20"/>
          <w:szCs w:val="20"/>
          <w:lang w:bidi="ar"/>
        </w:rPr>
      </w:pPr>
      <w:r>
        <w:rPr>
          <w:rFonts w:ascii="微软雅黑" w:hAnsi="微软雅黑" w:eastAsia="微软雅黑" w:cs="微软雅黑"/>
          <w:b/>
          <w:color w:val="FF0000"/>
          <w:kern w:val="0"/>
          <w:sz w:val="20"/>
          <w:szCs w:val="20"/>
        </w:rPr>
        <w:drawing>
          <wp:inline distT="0" distB="0" distL="0" distR="0">
            <wp:extent cx="2001520" cy="40112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77" cy="401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5208">
      <w:pPr>
        <w:widowControl/>
        <w:jc w:val="left"/>
        <w:rPr>
          <w:rFonts w:ascii="微软雅黑" w:hAnsi="微软雅黑" w:eastAsia="微软雅黑" w:cs="微软雅黑"/>
          <w:kern w:val="0"/>
          <w:sz w:val="20"/>
          <w:szCs w:val="20"/>
          <w:lang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bidi="ar"/>
        </w:rPr>
        <w:t>自6月底开盘，至11月约375㎡</w:t>
      </w:r>
      <w:r>
        <w:rPr>
          <w:rFonts w:hint="eastAsia" w:ascii="微软雅黑" w:hAnsi="微软雅黑" w:eastAsia="微软雅黑" w:cs="微软雅黑"/>
          <w:kern w:val="0"/>
          <w:sz w:val="13"/>
          <w:szCs w:val="20"/>
          <w:lang w:bidi="ar"/>
        </w:rPr>
        <w:t>（建筑面积）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bidi="ar"/>
        </w:rPr>
        <w:t>翎御楼尊开盘即罄，创造了四开四捷的佳绩，在成都乃至全国豪改市场掀起一股“翎雲热”。</w:t>
      </w:r>
    </w:p>
    <w:p w14:paraId="7F28EAAD">
      <w:pPr>
        <w:jc w:val="left"/>
        <w:rPr>
          <w:rFonts w:ascii="微软雅黑" w:hAnsi="微软雅黑" w:eastAsia="微软雅黑" w:cs="微软雅黑"/>
          <w:kern w:val="0"/>
          <w:sz w:val="20"/>
          <w:szCs w:val="20"/>
          <w:lang w:bidi="ar"/>
        </w:rPr>
      </w:pPr>
    </w:p>
    <w:p w14:paraId="5FBFE3A9">
      <w:pPr>
        <w:jc w:val="center"/>
        <w:rPr>
          <w:rFonts w:ascii="微软雅黑" w:hAnsi="微软雅黑" w:eastAsia="微软雅黑" w:cs="微软雅黑"/>
          <w:b/>
          <w:bCs/>
          <w:sz w:val="28"/>
          <w:szCs w:val="36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u w:val="single"/>
        </w:rPr>
        <w:t>封面力作 时代鉴藏</w:t>
      </w:r>
    </w:p>
    <w:p w14:paraId="5F8DAB20">
      <w:pPr>
        <w:jc w:val="center"/>
        <w:rPr>
          <w:rFonts w:ascii="微软雅黑" w:hAnsi="微软雅黑" w:eastAsia="微软雅黑" w:cs="微软雅黑"/>
          <w:b/>
          <w:bCs/>
          <w:sz w:val="28"/>
          <w:szCs w:val="36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u w:val="single"/>
        </w:rPr>
        <w:t>277㎡</w:t>
      </w:r>
      <w:r>
        <w:rPr>
          <w:rFonts w:hint="eastAsia" w:ascii="微软雅黑" w:hAnsi="微软雅黑" w:eastAsia="微软雅黑" w:cs="微软雅黑"/>
          <w:b/>
          <w:bCs/>
          <w:sz w:val="15"/>
          <w:szCs w:val="36"/>
          <w:u w:val="single"/>
        </w:rPr>
        <w:t>（建面约）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u w:val="single"/>
        </w:rPr>
        <w:t>压轴藏品上新</w:t>
      </w:r>
    </w:p>
    <w:p w14:paraId="58EAD792">
      <w:pPr>
        <w:widowControl/>
        <w:jc w:val="left"/>
        <w:rPr>
          <w:rFonts w:ascii="微软雅黑" w:hAnsi="微软雅黑" w:eastAsia="微软雅黑" w:cs="微软雅黑"/>
          <w:kern w:val="0"/>
          <w:sz w:val="20"/>
          <w:szCs w:val="20"/>
          <w:lang w:bidi="ar"/>
        </w:rPr>
      </w:pPr>
    </w:p>
    <w:p w14:paraId="445CD9ED">
      <w:pPr>
        <w:jc w:val="left"/>
        <w:rPr>
          <w:rFonts w:ascii="微软雅黑" w:hAnsi="微软雅黑" w:eastAsia="微软雅黑" w:cs="微软雅黑"/>
          <w:kern w:val="0"/>
          <w:sz w:val="20"/>
          <w:szCs w:val="20"/>
          <w:lang w:bidi="ar"/>
        </w:rPr>
      </w:pPr>
      <w:r>
        <w:rPr>
          <w:rFonts w:hint="eastAsia" w:ascii="微软雅黑" w:hAnsi="微软雅黑" w:eastAsia="微软雅黑" w:cs="微软雅黑"/>
          <w:kern w:val="0"/>
          <w:sz w:val="20"/>
          <w:szCs w:val="20"/>
          <w:lang w:bidi="ar"/>
        </w:rPr>
        <w:t>招商·翎雲阁，作为天府极核之上的典藏之作，具象了峯层居住理想。第五批次约277㎡</w:t>
      </w:r>
      <w:r>
        <w:rPr>
          <w:rFonts w:hint="eastAsia" w:ascii="微软雅黑" w:hAnsi="微软雅黑" w:eastAsia="微软雅黑" w:cs="微软雅黑"/>
          <w:kern w:val="0"/>
          <w:sz w:val="15"/>
          <w:szCs w:val="20"/>
          <w:lang w:bidi="ar"/>
        </w:rPr>
        <w:t>（建筑面积）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bidi="ar"/>
        </w:rPr>
        <w:t>翎峯藏品现已取证上新，作为压轴之作，每一席都尽显臻贵。</w:t>
      </w:r>
    </w:p>
    <w:p w14:paraId="3921236D">
      <w:pPr>
        <w:widowControl/>
        <w:jc w:val="left"/>
        <w:rPr>
          <w:rFonts w:ascii="微软雅黑" w:hAnsi="微软雅黑" w:eastAsia="微软雅黑" w:cs="微软雅黑"/>
          <w:kern w:val="0"/>
          <w:sz w:val="20"/>
          <w:szCs w:val="20"/>
          <w:lang w:bidi="ar"/>
        </w:rPr>
      </w:pPr>
      <w:r>
        <w:rPr>
          <w:rFonts w:ascii="微软雅黑" w:hAnsi="微软雅黑" w:eastAsia="微软雅黑" w:cs="微软雅黑"/>
          <w:kern w:val="0"/>
          <w:sz w:val="20"/>
          <w:szCs w:val="20"/>
          <w:lang w:bidi="ar"/>
        </w:rPr>
        <w:pict>
          <v:shape id="_x0000_i1025" o:spt="75" type="#_x0000_t75" style="height:217.65pt;width:411.05pt;" filled="f" o:preferrelative="t" stroked="f" coordsize="21600,21600">
            <v:path/>
            <v:fill on="f" focussize="0,0"/>
            <v:stroke on="f" joinstyle="miter"/>
            <v:imagedata r:id="rId6" o:title="3"/>
            <o:lock v:ext="edit" aspectratio="t"/>
            <w10:wrap type="none"/>
            <w10:anchorlock/>
          </v:shape>
        </w:pict>
      </w:r>
    </w:p>
    <w:p w14:paraId="39A11BF2">
      <w:pPr>
        <w:jc w:val="center"/>
        <w:rPr>
          <w:rFonts w:ascii="微软雅黑" w:hAnsi="微软雅黑" w:eastAsia="微软雅黑" w:cs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>【翎雲阁277㎡</w:t>
      </w:r>
      <w:r>
        <w:rPr>
          <w:rFonts w:hint="eastAsia" w:ascii="微软雅黑" w:hAnsi="微软雅黑" w:eastAsia="微软雅黑" w:cs="微软雅黑"/>
          <w:b/>
          <w:bCs/>
          <w:sz w:val="13"/>
          <w:szCs w:val="28"/>
        </w:rPr>
        <w:t>（建筑面积）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</w:rPr>
        <w:t>翎峯户型 面向高端家庭的关系定制场】</w:t>
      </w:r>
    </w:p>
    <w:p w14:paraId="74B9E050">
      <w:pPr>
        <w:pStyle w:val="5"/>
        <w:widowControl/>
        <w:spacing w:before="75" w:beforeAutospacing="0" w:afterAutospacing="0"/>
        <w:rPr>
          <w:rFonts w:ascii="微软雅黑" w:hAnsi="微软雅黑" w:eastAsia="微软雅黑" w:cs="微软雅黑"/>
          <w:sz w:val="20"/>
          <w:szCs w:val="20"/>
          <w:lang w:bidi="ar"/>
        </w:rPr>
      </w:pPr>
      <w:r>
        <w:rPr>
          <w:rFonts w:hint="eastAsia" w:ascii="微软雅黑" w:hAnsi="微软雅黑" w:eastAsia="微软雅黑" w:cs="微软雅黑"/>
          <w:sz w:val="20"/>
          <w:szCs w:val="20"/>
          <w:lang w:bidi="ar"/>
        </w:rPr>
        <w:t>翎雲阁通过精湛的筑造技艺和独特的空间理解，</w:t>
      </w:r>
      <w:r>
        <w:rPr>
          <w:rFonts w:ascii="微软雅黑" w:hAnsi="微软雅黑" w:eastAsia="微软雅黑" w:cs="微软雅黑"/>
          <w:sz w:val="20"/>
          <w:szCs w:val="20"/>
          <w:lang w:bidi="ar"/>
        </w:rPr>
        <w:t>将功能与美学完美结合，从实用性</w:t>
      </w:r>
      <w:r>
        <w:rPr>
          <w:rFonts w:hint="eastAsia" w:ascii="微软雅黑" w:hAnsi="微软雅黑" w:eastAsia="微软雅黑" w:cs="微软雅黑"/>
          <w:sz w:val="20"/>
          <w:szCs w:val="20"/>
          <w:lang w:bidi="ar"/>
        </w:rPr>
        <w:t>和</w:t>
      </w:r>
      <w:r>
        <w:rPr>
          <w:rFonts w:ascii="微软雅黑" w:hAnsi="微软雅黑" w:eastAsia="微软雅黑" w:cs="微软雅黑"/>
          <w:sz w:val="20"/>
          <w:szCs w:val="20"/>
          <w:lang w:bidi="ar"/>
        </w:rPr>
        <w:t>美观性上，</w:t>
      </w:r>
      <w:r>
        <w:rPr>
          <w:rFonts w:hint="eastAsia" w:ascii="微软雅黑" w:hAnsi="微软雅黑" w:eastAsia="微软雅黑" w:cs="微软雅黑"/>
          <w:sz w:val="20"/>
          <w:szCs w:val="20"/>
          <w:lang w:bidi="ar"/>
        </w:rPr>
        <w:t>展现出一个塔尖豪宅理想新篇章。</w:t>
      </w:r>
    </w:p>
    <w:p w14:paraId="19DF4F42">
      <w:pPr>
        <w:pStyle w:val="5"/>
        <w:widowControl/>
        <w:spacing w:before="75" w:beforeAutospacing="0" w:afterAutospacing="0"/>
        <w:rPr>
          <w:rFonts w:ascii="微软雅黑" w:hAnsi="微软雅黑" w:eastAsia="微软雅黑" w:cs="微软雅黑"/>
          <w:sz w:val="20"/>
          <w:szCs w:val="20"/>
          <w:lang w:bidi="ar"/>
        </w:rPr>
      </w:pPr>
      <w:r>
        <w:rPr>
          <w:rFonts w:ascii="微软雅黑" w:hAnsi="微软雅黑" w:eastAsia="微软雅黑" w:cs="微软雅黑"/>
          <w:sz w:val="20"/>
          <w:szCs w:val="20"/>
          <w:lang w:bidi="ar"/>
        </w:rPr>
        <w:pict>
          <v:shape id="_x0000_i1026" o:spt="75" type="#_x0000_t75" style="height:230.25pt;width:435.35pt;" filled="f" o:preferrelative="t" stroked="f" coordsize="21600,21600">
            <v:path/>
            <v:fill on="f" focussize="0,0"/>
            <v:stroke on="f" joinstyle="miter"/>
            <v:imagedata r:id="rId7" o:title="6"/>
            <o:lock v:ext="edit" aspectratio="t"/>
            <w10:wrap type="none"/>
            <w10:anchorlock/>
          </v:shape>
        </w:pict>
      </w:r>
    </w:p>
    <w:p w14:paraId="26F04390">
      <w:pPr>
        <w:jc w:val="center"/>
        <w:rPr>
          <w:rFonts w:ascii="微软雅黑" w:hAnsi="微软雅黑" w:eastAsia="微软雅黑" w:cs="微软雅黑"/>
          <w:b/>
          <w:bCs/>
          <w:sz w:val="20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2"/>
        </w:rPr>
        <w:t>约270°观景“玻璃盒子” 美观与视野都不能缺席</w:t>
      </w:r>
    </w:p>
    <w:p w14:paraId="6A5CA1B5">
      <w:pPr>
        <w:jc w:val="left"/>
        <w:rPr>
          <w:rFonts w:ascii="微软雅黑" w:hAnsi="微软雅黑" w:eastAsia="微软雅黑" w:cs="微软雅黑"/>
          <w:b/>
          <w:bCs/>
          <w:sz w:val="18"/>
          <w:szCs w:val="21"/>
        </w:rPr>
      </w:pPr>
    </w:p>
    <w:p w14:paraId="7EB49802">
      <w:pPr>
        <w:pStyle w:val="5"/>
        <w:widowControl/>
        <w:spacing w:before="75" w:beforeAutospacing="0" w:afterAutospacing="0"/>
        <w:rPr>
          <w:rFonts w:ascii="微软雅黑" w:hAnsi="微软雅黑" w:eastAsia="微软雅黑" w:cs="微软雅黑"/>
          <w:sz w:val="20"/>
          <w:szCs w:val="20"/>
          <w:lang w:bidi="ar"/>
        </w:rPr>
      </w:pPr>
      <w:r>
        <w:rPr>
          <w:rFonts w:hint="eastAsia" w:ascii="微软雅黑" w:hAnsi="微软雅黑" w:eastAsia="微软雅黑" w:cs="微软雅黑"/>
          <w:sz w:val="20"/>
          <w:szCs w:val="20"/>
          <w:lang w:bidi="ar"/>
        </w:rPr>
        <w:t>美学玻璃幕墙，给与建筑更挺拔的精神线条之外，也给予室内更疏朗的连续采光观景面，约109㎡IMAX巨厅，展现多面观景，窗内是家庭聚场，窗外是极核封面。</w:t>
      </w:r>
    </w:p>
    <w:p w14:paraId="71387D35">
      <w:pPr>
        <w:pStyle w:val="5"/>
        <w:widowControl/>
        <w:spacing w:before="75" w:beforeAutospacing="0" w:afterAutospacing="0"/>
        <w:jc w:val="center"/>
        <w:rPr>
          <w:rFonts w:ascii="微软雅黑" w:hAnsi="微软雅黑" w:eastAsia="微软雅黑" w:cs="微软雅黑"/>
          <w:color w:val="333333"/>
          <w:spacing w:val="8"/>
          <w:sz w:val="15"/>
          <w:szCs w:val="15"/>
        </w:rPr>
      </w:pPr>
      <w:r>
        <w:rPr>
          <w:rFonts w:hint="eastAsia" w:ascii="微软雅黑" w:hAnsi="微软雅黑" w:eastAsia="微软雅黑" w:cs="微软雅黑"/>
          <w:color w:val="333333"/>
          <w:spacing w:val="8"/>
          <w:sz w:val="15"/>
          <w:szCs w:val="15"/>
        </w:rPr>
        <w:drawing>
          <wp:inline distT="0" distB="0" distL="114300" distR="114300">
            <wp:extent cx="5266690" cy="2668905"/>
            <wp:effectExtent l="0" t="0" r="10160" b="17145"/>
            <wp:docPr id="6" name="图片 6" descr="微信图片_20241209235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2092354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5D75">
      <w:pPr>
        <w:pStyle w:val="5"/>
        <w:widowControl/>
        <w:spacing w:before="75" w:beforeAutospacing="0" w:afterAutospacing="0"/>
        <w:jc w:val="center"/>
        <w:rPr>
          <w:rFonts w:ascii="微软雅黑" w:hAnsi="微软雅黑" w:eastAsia="微软雅黑" w:cs="微软雅黑"/>
          <w:color w:val="333333"/>
          <w:spacing w:val="8"/>
          <w:sz w:val="15"/>
          <w:szCs w:val="15"/>
        </w:rPr>
      </w:pPr>
    </w:p>
    <w:p w14:paraId="6A960713">
      <w:pPr>
        <w:jc w:val="center"/>
        <w:rPr>
          <w:rFonts w:ascii="微软雅黑" w:hAnsi="微软雅黑" w:eastAsia="微软雅黑" w:cs="微软雅黑"/>
          <w:b/>
          <w:bCs/>
          <w:sz w:val="20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2"/>
        </w:rPr>
        <w:t>阔尺巨幕双端厅 让家庭的交流更加紧密</w:t>
      </w:r>
    </w:p>
    <w:p w14:paraId="189A5F3D">
      <w:pPr>
        <w:pStyle w:val="5"/>
        <w:widowControl/>
        <w:spacing w:beforeAutospacing="0" w:afterAutospacing="0"/>
        <w:ind w:firstLine="420"/>
        <w:jc w:val="both"/>
        <w:rPr>
          <w:rFonts w:ascii="微软雅黑" w:hAnsi="微软雅黑" w:eastAsia="微软雅黑" w:cs="微软雅黑"/>
          <w:color w:val="333333"/>
          <w:spacing w:val="8"/>
          <w:sz w:val="15"/>
          <w:szCs w:val="15"/>
        </w:rPr>
      </w:pPr>
    </w:p>
    <w:p w14:paraId="754459E2">
      <w:pPr>
        <w:pStyle w:val="5"/>
        <w:widowControl/>
        <w:spacing w:before="75" w:beforeAutospacing="0" w:afterAutospacing="0"/>
        <w:rPr>
          <w:rFonts w:ascii="微软雅黑" w:hAnsi="微软雅黑" w:eastAsia="微软雅黑" w:cs="微软雅黑"/>
          <w:sz w:val="20"/>
          <w:szCs w:val="20"/>
          <w:lang w:bidi="ar"/>
        </w:rPr>
      </w:pPr>
      <w:r>
        <w:rPr>
          <w:rFonts w:hint="eastAsia" w:ascii="微软雅黑" w:hAnsi="微软雅黑" w:eastAsia="微软雅黑" w:cs="微软雅黑"/>
          <w:sz w:val="20"/>
          <w:szCs w:val="20"/>
          <w:lang w:bidi="ar"/>
        </w:rPr>
        <w:t>翎雲阁会客厅和南向阳台就有约54㎡，打造家庭中心关系场大尺度聚会厅，满足全家人的休闲娱乐。双厨房双餐厅，观景大餐厅盛纳成功家庭的其乐融融与高朋满座。</w:t>
      </w:r>
    </w:p>
    <w:p w14:paraId="5A39322E">
      <w:pPr>
        <w:pStyle w:val="5"/>
        <w:widowControl/>
        <w:spacing w:beforeAutospacing="0" w:afterAutospacing="0"/>
        <w:ind w:firstLine="420"/>
        <w:jc w:val="both"/>
        <w:rPr>
          <w:rFonts w:ascii="微软雅黑" w:hAnsi="微软雅黑" w:eastAsia="微软雅黑" w:cs="微软雅黑"/>
          <w:color w:val="333333"/>
          <w:spacing w:val="8"/>
          <w:sz w:val="15"/>
          <w:szCs w:val="15"/>
        </w:rPr>
      </w:pPr>
    </w:p>
    <w:p w14:paraId="5F46EAF2">
      <w:pPr>
        <w:widowControl/>
        <w:jc w:val="center"/>
        <w:rPr>
          <w:rFonts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114300" distR="114300">
            <wp:extent cx="5338445" cy="2694305"/>
            <wp:effectExtent l="0" t="0" r="14605" b="10795"/>
            <wp:docPr id="17" name="图片 17" descr="240625图注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40625图注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36C2">
      <w:pPr>
        <w:widowControl/>
        <w:jc w:val="center"/>
        <w:rPr>
          <w:rFonts w:ascii="微软雅黑" w:hAnsi="微软雅黑" w:eastAsia="微软雅黑" w:cs="微软雅黑"/>
          <w:b/>
          <w:bCs/>
        </w:rPr>
      </w:pPr>
    </w:p>
    <w:p w14:paraId="09317916">
      <w:pPr>
        <w:jc w:val="center"/>
        <w:rPr>
          <w:rFonts w:ascii="微软雅黑" w:hAnsi="微软雅黑" w:eastAsia="微软雅黑" w:cs="微软雅黑"/>
          <w:b/>
          <w:bCs/>
          <w:sz w:val="20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2"/>
        </w:rPr>
        <w:t xml:space="preserve">德国旭格系统推拉窗 迎纳充沛的光线流入室内 </w:t>
      </w:r>
    </w:p>
    <w:p w14:paraId="49FEF4D8">
      <w:pPr>
        <w:pStyle w:val="5"/>
        <w:widowControl/>
        <w:spacing w:before="75" w:beforeAutospacing="0" w:afterAutospacing="0"/>
        <w:rPr>
          <w:rFonts w:ascii="微软雅黑" w:hAnsi="微软雅黑" w:eastAsia="微软雅黑" w:cs="微软雅黑"/>
          <w:sz w:val="20"/>
          <w:szCs w:val="20"/>
          <w:lang w:bidi="ar"/>
        </w:rPr>
      </w:pPr>
      <w:r>
        <w:rPr>
          <w:rFonts w:hint="eastAsia" w:ascii="微软雅黑" w:hAnsi="微软雅黑" w:eastAsia="微软雅黑" w:cs="微软雅黑"/>
          <w:sz w:val="20"/>
          <w:szCs w:val="20"/>
          <w:lang w:bidi="ar"/>
        </w:rPr>
        <w:t>采用旭格系统推拉窗，于室内享受更充沛的阳光盛景，心境自然豁达开朗。</w:t>
      </w:r>
    </w:p>
    <w:p w14:paraId="5503D09E">
      <w:pPr>
        <w:pStyle w:val="5"/>
        <w:widowControl/>
        <w:spacing w:before="75" w:beforeAutospacing="0" w:afterAutospacing="0"/>
        <w:rPr>
          <w:rFonts w:ascii="微软雅黑" w:hAnsi="微软雅黑" w:eastAsia="微软雅黑" w:cs="微软雅黑"/>
          <w:b/>
          <w:bCs/>
          <w:sz w:val="20"/>
          <w:szCs w:val="22"/>
        </w:rPr>
      </w:pPr>
      <w:r>
        <w:rPr>
          <w:rFonts w:hint="eastAsia" w:ascii="微软雅黑" w:hAnsi="微软雅黑" w:eastAsia="微软雅黑" w:cs="微软雅黑"/>
          <w:sz w:val="15"/>
          <w:szCs w:val="15"/>
          <w:lang w:bidi="ar"/>
        </w:rPr>
        <w:t>（所述为277㎡（建筑面积）户型，且部分可开启，以实际交付为准）</w:t>
      </w:r>
    </w:p>
    <w:p w14:paraId="0E67288D">
      <w:pPr>
        <w:jc w:val="center"/>
        <w:rPr>
          <w:rFonts w:ascii="微软雅黑" w:hAnsi="微软雅黑" w:eastAsia="微软雅黑" w:cs="微软雅黑"/>
          <w:b/>
          <w:bCs/>
          <w:sz w:val="20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2"/>
        </w:rPr>
        <w:drawing>
          <wp:inline distT="0" distB="0" distL="114300" distR="114300">
            <wp:extent cx="5266690" cy="2719070"/>
            <wp:effectExtent l="0" t="0" r="10160" b="5080"/>
            <wp:docPr id="5" name="图片 5" descr="微信图片_2024120923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2092330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52F6">
      <w:pPr>
        <w:widowControl/>
        <w:jc w:val="center"/>
        <w:rPr>
          <w:rFonts w:ascii="微软雅黑" w:hAnsi="微软雅黑" w:eastAsia="微软雅黑" w:cs="微软雅黑"/>
          <w:kern w:val="0"/>
          <w:sz w:val="15"/>
          <w:szCs w:val="15"/>
          <w:lang w:bidi="ar"/>
        </w:rPr>
      </w:pPr>
    </w:p>
    <w:p w14:paraId="012DF53D"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“重奢”“重料”“重工”，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  <w:lang w:bidi="ar"/>
        </w:rPr>
        <w:t>在产品打造上讲究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质感与实用并重</w:t>
      </w:r>
    </w:p>
    <w:p w14:paraId="49FA6183">
      <w:pPr>
        <w:spacing w:line="360" w:lineRule="auto"/>
        <w:jc w:val="left"/>
        <w:rPr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用艺术感浓厚的哑光黑壁柜作为空间的主色调，整个空间运用岩板、石材、铜饰面等精选材质巧妙融合，让整体设计奢适温暖。</w:t>
      </w:r>
    </w:p>
    <w:p w14:paraId="257BB6A2">
      <w:pPr>
        <w:spacing w:line="360" w:lineRule="auto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drawing>
          <wp:inline distT="0" distB="0" distL="114300" distR="114300">
            <wp:extent cx="4866005" cy="3247390"/>
            <wp:effectExtent l="0" t="0" r="10795" b="10160"/>
            <wp:docPr id="31" name="图片 31" descr="1513af666fbe20d482e397358b54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13af666fbe20d482e397358b54c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28BD">
      <w:pPr>
        <w:spacing w:line="360" w:lineRule="auto"/>
        <w:jc w:val="left"/>
        <w:rPr>
          <w:sz w:val="20"/>
          <w:szCs w:val="20"/>
        </w:rPr>
      </w:pPr>
    </w:p>
    <w:p w14:paraId="0499A3DE">
      <w:pPr>
        <w:spacing w:line="360" w:lineRule="auto"/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采用中西结合的手法，模糊了厨房与餐厅的边界，开阔的空间感受尽显豪气。由高级岩板精筑西厨岛台，奏出品质生活的乐曲。全屋厨电采用全球一线品牌，配置了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  <w:u w:val="single"/>
        </w:rPr>
        <w:t>嘉格纳、AEG、RWK等品牌。</w:t>
      </w:r>
      <w:r>
        <w:rPr>
          <w:sz w:val="20"/>
          <w:szCs w:val="20"/>
        </w:rPr>
        <w:drawing>
          <wp:inline distT="0" distB="0" distL="114300" distR="114300">
            <wp:extent cx="5273040" cy="2750185"/>
            <wp:effectExtent l="0" t="0" r="3810" b="12065"/>
            <wp:docPr id="33" name="图片 33" descr="240625图注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40625图注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79AD"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 w14:paraId="4556CD65"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 xml:space="preserve">社交奢境封面圈层 </w:t>
      </w:r>
      <w:r>
        <w:rPr>
          <w:rFonts w:ascii="微软雅黑" w:hAnsi="微软雅黑" w:eastAsia="微软雅黑" w:cs="微软雅黑"/>
          <w:b/>
          <w:bCs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星辉地库出入尊崇</w:t>
      </w:r>
    </w:p>
    <w:p w14:paraId="7735F1A5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FF0000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架空层泛会所以及臻装地库已惊艳亮相，精心雕琢出的豪宅美学界面，承启时代奢雅风范。通过考究尺度与细节缔造尊崇场域，大美星级地库，赋予至臻尊崇归家艺境，封面生活，在此刻自如上演。</w:t>
      </w:r>
    </w:p>
    <w:p w14:paraId="6B843515">
      <w:r>
        <w:rPr>
          <w:rFonts w:hint="eastAsia"/>
        </w:rPr>
        <w:drawing>
          <wp:inline distT="0" distB="0" distL="114300" distR="114300">
            <wp:extent cx="5271135" cy="2964815"/>
            <wp:effectExtent l="0" t="0" r="5715" b="6985"/>
            <wp:docPr id="1" name="图片 1" descr="42e7f6bb5fd1fc4021fc67f5060c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e7f6bb5fd1fc4021fc67f5060cbd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6748">
      <w:r>
        <w:rPr>
          <w:rFonts w:hint="eastAsia"/>
        </w:rPr>
        <w:drawing>
          <wp:inline distT="0" distB="0" distL="114300" distR="114300">
            <wp:extent cx="5271135" cy="2964815"/>
            <wp:effectExtent l="0" t="0" r="5715" b="6985"/>
            <wp:docPr id="2" name="图片 2" descr="73719630264a9901258da22c864e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719630264a9901258da22c864e6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0A59">
      <w:pPr>
        <w:pStyle w:val="5"/>
        <w:widowControl/>
        <w:spacing w:before="75" w:beforeAutospacing="0" w:afterAutospacing="0"/>
        <w:jc w:val="center"/>
        <w:rPr>
          <w:rFonts w:ascii="微软雅黑" w:hAnsi="微软雅黑" w:eastAsia="微软雅黑" w:cs="微软雅黑"/>
          <w:b/>
          <w:bCs/>
          <w:color w:val="333333"/>
          <w:spacing w:val="8"/>
          <w:sz w:val="20"/>
          <w:szCs w:val="20"/>
          <w:highlight w:val="cyan"/>
        </w:rPr>
      </w:pPr>
    </w:p>
    <w:p w14:paraId="0C01E655">
      <w:pPr>
        <w:widowControl/>
        <w:jc w:val="center"/>
        <w:rPr>
          <w:rFonts w:ascii="微软雅黑" w:hAnsi="微软雅黑" w:eastAsia="微软雅黑" w:cs="微软雅黑"/>
          <w:b/>
          <w:bCs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招商蛇口2024 启幕大城封面生活</w:t>
      </w:r>
    </w:p>
    <w:p w14:paraId="3FEDF0DE">
      <w:pPr>
        <w:pStyle w:val="5"/>
        <w:widowControl/>
        <w:spacing w:before="75" w:beforeAutospacing="0" w:afterAutospacing="0"/>
        <w:jc w:val="center"/>
        <w:rPr>
          <w:rFonts w:ascii="微软雅黑" w:hAnsi="微软雅黑" w:eastAsia="微软雅黑" w:cs="微软雅黑"/>
          <w:b/>
          <w:bCs/>
          <w:color w:val="333333"/>
          <w:spacing w:val="8"/>
          <w:sz w:val="20"/>
          <w:szCs w:val="20"/>
          <w:highlight w:val="cyan"/>
        </w:rPr>
      </w:pPr>
    </w:p>
    <w:p w14:paraId="3665E7EC">
      <w:pPr>
        <w:widowControl/>
        <w:jc w:val="left"/>
        <w:rPr>
          <w:rStyle w:val="9"/>
          <w:rFonts w:ascii="微软雅黑" w:hAnsi="微软雅黑" w:eastAsia="微软雅黑" w:cs="微软雅黑"/>
          <w:color w:val="000000"/>
          <w:kern w:val="0"/>
          <w:szCs w:val="21"/>
          <w:lang w:bidi="ar"/>
        </w:rPr>
      </w:pPr>
      <w:r>
        <w:rPr>
          <w:rStyle w:val="10"/>
          <w:rFonts w:hint="eastAsia" w:ascii="微软雅黑" w:hAnsi="微软雅黑" w:eastAsia="微软雅黑" w:cs="微软雅黑"/>
        </w:rPr>
        <w:t>招商蛇口，致力成为美好生活承载者，从产城大盘、商业焕新到品质生活，为人们提供更多美好生活的可能。当前，招商蛇口在成都已布局了多个商业地标项目，为人们打造了一个连接家庭与城市的休憩场所，令人格外期待的是，</w:t>
      </w:r>
      <w:r>
        <w:rPr>
          <w:rStyle w:val="10"/>
          <w:rFonts w:hint="eastAsia" w:ascii="微软雅黑" w:hAnsi="微软雅黑" w:eastAsia="微软雅黑" w:cs="微软雅黑"/>
          <w:b/>
          <w:bCs/>
        </w:rPr>
        <w:t>时代公园life里、天府招商花园城和金牛招商花园城</w:t>
      </w:r>
      <w:r>
        <w:rPr>
          <w:rStyle w:val="10"/>
          <w:rFonts w:hint="eastAsia" w:ascii="微软雅黑" w:hAnsi="微软雅黑" w:eastAsia="微软雅黑" w:cs="微软雅黑"/>
        </w:rPr>
        <w:t>也将于本月底精彩亮相。</w:t>
      </w:r>
      <w:r>
        <w:rPr>
          <w:rStyle w:val="9"/>
          <w:rFonts w:ascii="微软雅黑" w:hAnsi="微软雅黑" w:eastAsia="微软雅黑" w:cs="微软雅黑"/>
          <w:color w:val="000000"/>
          <w:kern w:val="0"/>
          <w:szCs w:val="21"/>
          <w:lang w:bidi="ar"/>
        </w:rPr>
        <w:t xml:space="preserve">              </w:t>
      </w:r>
      <w:r>
        <w:rPr>
          <w:rStyle w:val="9"/>
          <w:rFonts w:ascii="微软雅黑" w:hAnsi="微软雅黑" w:eastAsia="微软雅黑" w:cs="微软雅黑"/>
          <w:color w:val="000000"/>
          <w:kern w:val="0"/>
          <w:szCs w:val="21"/>
          <w:lang w:bidi="ar"/>
        </w:rPr>
        <w:pict>
          <v:shape id="_x0000_i1027" o:spt="75" type="#_x0000_t75" style="height:229.4pt;width:432pt;" filled="f" o:preferrelative="t" stroked="f" coordsize="21600,21600">
            <v:path/>
            <v:fill on="f" focussize="0,0"/>
            <v:stroke on="f" joinstyle="miter"/>
            <v:imagedata r:id="rId15" o:title="4"/>
            <o:lock v:ext="edit" aspectratio="t"/>
            <w10:wrap type="none"/>
            <w10:anchorlock/>
          </v:shape>
        </w:pict>
      </w:r>
    </w:p>
    <w:p w14:paraId="18C73FC3">
      <w:pPr>
        <w:widowControl/>
        <w:jc w:val="left"/>
        <w:rPr>
          <w:rStyle w:val="9"/>
          <w:rFonts w:ascii="微软雅黑" w:hAnsi="微软雅黑" w:eastAsia="微软雅黑" w:cs="微软雅黑"/>
          <w:b w:val="0"/>
          <w:szCs w:val="21"/>
        </w:rPr>
      </w:pPr>
      <w:r>
        <w:rPr>
          <w:rStyle w:val="9"/>
          <w:rFonts w:ascii="微软雅黑" w:hAnsi="微软雅黑" w:eastAsia="微软雅黑" w:cs="微软雅黑"/>
          <w:color w:val="000000"/>
          <w:kern w:val="0"/>
          <w:szCs w:val="21"/>
          <w:lang w:bidi="ar"/>
        </w:rPr>
        <w:pict>
          <v:shape id="_x0000_i1028" o:spt="75" type="#_x0000_t75" style="height:230.25pt;width:433.65pt;" filled="f" o:preferrelative="t" stroked="f" coordsize="21600,21600">
            <v:path/>
            <v:fill on="f" focussize="0,0"/>
            <v:stroke on="f" joinstyle="miter"/>
            <v:imagedata r:id="rId16" o:title="5"/>
            <o:lock v:ext="edit" aspectratio="t"/>
            <w10:wrap type="none"/>
            <w10:anchorlock/>
          </v:shape>
        </w:pict>
      </w:r>
    </w:p>
    <w:p w14:paraId="6D1681D1">
      <w:pPr>
        <w:widowControl/>
        <w:jc w:val="left"/>
        <w:rPr>
          <w:rStyle w:val="10"/>
          <w:rFonts w:ascii="微软雅黑" w:hAnsi="微软雅黑" w:eastAsia="微软雅黑" w:cs="微软雅黑"/>
        </w:rPr>
      </w:pPr>
      <w:r>
        <w:rPr>
          <w:rStyle w:val="10"/>
          <w:rFonts w:hint="eastAsia" w:ascii="微软雅黑" w:hAnsi="微软雅黑" w:eastAsia="微软雅黑" w:cs="微软雅黑"/>
          <w:b/>
        </w:rPr>
        <w:t>时代公园life里</w:t>
      </w:r>
      <w:r>
        <w:rPr>
          <w:rStyle w:val="10"/>
          <w:rFonts w:hint="eastAsia" w:ascii="微软雅黑" w:hAnsi="微软雅黑" w:eastAsia="微软雅黑" w:cs="微软雅黑"/>
        </w:rPr>
        <w:t>位于招商•翎雲阁旁，采用</w:t>
      </w:r>
      <w:r>
        <w:rPr>
          <w:rStyle w:val="10"/>
          <w:rFonts w:hint="eastAsia" w:ascii="微软雅黑" w:hAnsi="微软雅黑" w:eastAsia="微软雅黑" w:cs="微软雅黑"/>
          <w:b/>
        </w:rPr>
        <w:t>BLOCK开放式街区</w:t>
      </w:r>
      <w:r>
        <w:rPr>
          <w:rStyle w:val="10"/>
          <w:rFonts w:hint="eastAsia" w:ascii="微软雅黑" w:hAnsi="微软雅黑" w:eastAsia="微软雅黑" w:cs="微软雅黑"/>
        </w:rPr>
        <w:t>设计，汇聚国内外优质家居与生活美学、生活方式等品牌。紧邻时代公园life里的</w:t>
      </w:r>
      <w:r>
        <w:rPr>
          <w:rStyle w:val="10"/>
          <w:rFonts w:hint="eastAsia" w:ascii="微软雅黑" w:hAnsi="微软雅黑" w:eastAsia="微软雅黑" w:cs="微软雅黑"/>
          <w:b/>
        </w:rPr>
        <w:t>天府招商花园城</w:t>
      </w:r>
      <w:r>
        <w:rPr>
          <w:rStyle w:val="10"/>
          <w:rFonts w:hint="eastAsia" w:ascii="微软雅黑" w:hAnsi="微软雅黑" w:eastAsia="微软雅黑" w:cs="微软雅黑"/>
        </w:rPr>
        <w:t>即将在12月21日盛大开业，将为时代公园业主带来更为丰富多元的选择和全新的购物体验</w:t>
      </w:r>
      <w:r>
        <w:rPr>
          <w:rStyle w:val="10"/>
          <w:rFonts w:hint="eastAsia" w:ascii="微软雅黑" w:hAnsi="微软雅黑" w:eastAsia="微软雅黑" w:cs="微软雅黑"/>
          <w:lang w:eastAsia="zh-CN"/>
        </w:rPr>
        <w:t>，</w:t>
      </w:r>
      <w:r>
        <w:rPr>
          <w:rStyle w:val="10"/>
          <w:rFonts w:hint="eastAsia" w:ascii="微软雅黑" w:hAnsi="微软雅黑" w:eastAsia="微软雅黑" w:cs="微软雅黑"/>
        </w:rPr>
        <w:t>同时幸福桥TOD的</w:t>
      </w:r>
      <w:r>
        <w:rPr>
          <w:rStyle w:val="10"/>
          <w:rFonts w:hint="eastAsia" w:ascii="微软雅黑" w:hAnsi="微软雅黑" w:eastAsia="微软雅黑" w:cs="微软雅黑"/>
          <w:b/>
        </w:rPr>
        <w:t>金牛招商花园城</w:t>
      </w:r>
      <w:r>
        <w:rPr>
          <w:rStyle w:val="10"/>
          <w:rFonts w:hint="eastAsia" w:ascii="微软雅黑" w:hAnsi="微软雅黑" w:eastAsia="微软雅黑" w:cs="微软雅黑"/>
        </w:rPr>
        <w:t>也即将在12月20日亮相。</w:t>
      </w:r>
    </w:p>
    <w:p w14:paraId="7EF12815">
      <w:pPr>
        <w:widowControl/>
        <w:jc w:val="left"/>
        <w:rPr>
          <w:rStyle w:val="10"/>
          <w:rFonts w:ascii="微软雅黑" w:hAnsi="微软雅黑" w:eastAsia="微软雅黑" w:cs="微软雅黑"/>
        </w:rPr>
      </w:pPr>
    </w:p>
    <w:p w14:paraId="137F11C2">
      <w:pPr>
        <w:widowControl/>
        <w:jc w:val="left"/>
        <w:rPr>
          <w:rStyle w:val="10"/>
          <w:rFonts w:ascii="微软雅黑" w:hAnsi="微软雅黑" w:eastAsia="微软雅黑" w:cs="微软雅黑"/>
        </w:rPr>
      </w:pPr>
      <w:r>
        <w:rPr>
          <w:rStyle w:val="10"/>
          <w:rFonts w:hint="eastAsia" w:ascii="微软雅黑" w:hAnsi="微软雅黑" w:eastAsia="微软雅黑" w:cs="微软雅黑"/>
        </w:rPr>
        <w:t>另外，翎</w:t>
      </w:r>
      <w:bookmarkStart w:id="0" w:name="_GoBack"/>
      <w:r>
        <w:rPr>
          <w:rStyle w:val="10"/>
          <w:rFonts w:hint="eastAsia" w:ascii="微软雅黑" w:hAnsi="微软雅黑" w:eastAsia="微软雅黑" w:cs="微软雅黑"/>
        </w:rPr>
        <w:t>雲</w:t>
      </w:r>
      <w:bookmarkEnd w:id="0"/>
      <w:r>
        <w:rPr>
          <w:rStyle w:val="10"/>
          <w:rFonts w:hint="eastAsia" w:ascii="微软雅黑" w:hAnsi="微软雅黑" w:eastAsia="微软雅黑" w:cs="微软雅黑"/>
        </w:rPr>
        <w:t>阁雲镜会所也将在本月底惊艳呈现，兑现层峯人士的高阶生活理想。大城封面生活上演在即，高端人居理想将要照进现实。</w:t>
      </w:r>
    </w:p>
    <w:p w14:paraId="0CD9096F">
      <w:pPr>
        <w:widowControl/>
        <w:jc w:val="left"/>
        <w:rPr>
          <w:rStyle w:val="10"/>
          <w:rFonts w:ascii="微软雅黑" w:hAnsi="微软雅黑" w:eastAsia="微软雅黑" w:cs="微软雅黑"/>
        </w:rPr>
      </w:pPr>
    </w:p>
    <w:p w14:paraId="7D4BA583">
      <w:pPr>
        <w:widowControl/>
        <w:jc w:val="left"/>
        <w:rPr>
          <w:rStyle w:val="10"/>
          <w:rFonts w:ascii="微软雅黑" w:hAnsi="微软雅黑" w:eastAsia="微软雅黑" w:cs="微软雅黑"/>
        </w:rPr>
      </w:pPr>
      <w:r>
        <w:rPr>
          <w:rStyle w:val="10"/>
          <w:rFonts w:hint="eastAsia" w:ascii="微软雅黑" w:hAnsi="微软雅黑" w:eastAsia="微软雅黑" w:cs="微软雅黑"/>
        </w:rPr>
        <w:t>2024年即将结束，招商蛇口作为城市共建者，始终以积极进取的态势，坚定不移地践行“与城市共进，为高端引领”的发展宗旨，凭借在高端产品开发和商业地产运营方面的卓越综合实力，其市场竞争力持续增强，彰显出成都行业巨头的强大力量。</w:t>
      </w:r>
    </w:p>
    <w:p w14:paraId="5A1989A6">
      <w:pPr>
        <w:widowControl/>
        <w:jc w:val="left"/>
        <w:rPr>
          <w:rStyle w:val="10"/>
          <w:rFonts w:ascii="微软雅黑" w:hAnsi="微软雅黑" w:eastAsia="微软雅黑" w:cs="微软雅黑"/>
        </w:rPr>
      </w:pPr>
    </w:p>
    <w:p w14:paraId="263E5203"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2040204020203"/>
    <w:charset w:val="86"/>
    <w:family w:val="swiss"/>
    <w:pitch w:val="default"/>
    <w:sig w:usb0="A00002BF" w:usb1="2ACF7CFB" w:usb2="00000016" w:usb3="00000000" w:csb0="2004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017561"/>
    <w:rsid w:val="000C468F"/>
    <w:rsid w:val="000E4D47"/>
    <w:rsid w:val="00195676"/>
    <w:rsid w:val="002258A8"/>
    <w:rsid w:val="00254FE6"/>
    <w:rsid w:val="002555ED"/>
    <w:rsid w:val="002802AA"/>
    <w:rsid w:val="004A01C5"/>
    <w:rsid w:val="004A1501"/>
    <w:rsid w:val="004A25CB"/>
    <w:rsid w:val="004B04A6"/>
    <w:rsid w:val="004F3C6C"/>
    <w:rsid w:val="00595506"/>
    <w:rsid w:val="006120C7"/>
    <w:rsid w:val="0062748C"/>
    <w:rsid w:val="006E7798"/>
    <w:rsid w:val="007974E7"/>
    <w:rsid w:val="007A6FB1"/>
    <w:rsid w:val="007A7285"/>
    <w:rsid w:val="008024A4"/>
    <w:rsid w:val="00834659"/>
    <w:rsid w:val="008E2F93"/>
    <w:rsid w:val="008E5EF1"/>
    <w:rsid w:val="008F5292"/>
    <w:rsid w:val="00941ACA"/>
    <w:rsid w:val="009852C2"/>
    <w:rsid w:val="009A486F"/>
    <w:rsid w:val="009C6984"/>
    <w:rsid w:val="009D265C"/>
    <w:rsid w:val="00AA357C"/>
    <w:rsid w:val="00AB28A9"/>
    <w:rsid w:val="00AD2836"/>
    <w:rsid w:val="00AD55E1"/>
    <w:rsid w:val="00B02742"/>
    <w:rsid w:val="00B03234"/>
    <w:rsid w:val="00B754B9"/>
    <w:rsid w:val="00B964BF"/>
    <w:rsid w:val="00BC543E"/>
    <w:rsid w:val="00BD616F"/>
    <w:rsid w:val="00C00EB7"/>
    <w:rsid w:val="00C17CBF"/>
    <w:rsid w:val="00C54B55"/>
    <w:rsid w:val="00D02F04"/>
    <w:rsid w:val="00D37BE4"/>
    <w:rsid w:val="00D6785E"/>
    <w:rsid w:val="00D736B7"/>
    <w:rsid w:val="00E01E58"/>
    <w:rsid w:val="00E47787"/>
    <w:rsid w:val="00F518A8"/>
    <w:rsid w:val="00F93862"/>
    <w:rsid w:val="00FE49C6"/>
    <w:rsid w:val="00FE4FF9"/>
    <w:rsid w:val="07914B6E"/>
    <w:rsid w:val="0E826E0A"/>
    <w:rsid w:val="1B7C5FD1"/>
    <w:rsid w:val="1FE74FF6"/>
    <w:rsid w:val="2ECD5F91"/>
    <w:rsid w:val="57B258B6"/>
    <w:rsid w:val="5EF32469"/>
    <w:rsid w:val="6A017561"/>
    <w:rsid w:val="738B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qFormat/>
    <w:uiPriority w:val="0"/>
    <w:pPr>
      <w:jc w:val="left"/>
    </w:p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6">
    <w:name w:val="annotation subject"/>
    <w:basedOn w:val="2"/>
    <w:next w:val="2"/>
    <w:link w:val="12"/>
    <w:qFormat/>
    <w:uiPriority w:val="0"/>
    <w:rPr>
      <w:b/>
      <w:bCs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annotation reference"/>
    <w:basedOn w:val="8"/>
    <w:qFormat/>
    <w:uiPriority w:val="0"/>
    <w:rPr>
      <w:sz w:val="21"/>
      <w:szCs w:val="21"/>
    </w:rPr>
  </w:style>
  <w:style w:type="character" w:customStyle="1" w:styleId="11">
    <w:name w:val="批注文字 字符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2">
    <w:name w:val="批注主题 字符"/>
    <w:basedOn w:val="11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3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1401</Words>
  <Characters>1466</Characters>
  <Lines>11</Lines>
  <Paragraphs>3</Paragraphs>
  <TotalTime>155</TotalTime>
  <ScaleCrop>false</ScaleCrop>
  <LinksUpToDate>false</LinksUpToDate>
  <CharactersWithSpaces>1494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2024-12-09T11:59:00Z</dcterms:created>
  <dc:creator>杜晋阳</dc:creator>
  <cp:lastModifiedBy>TORRRRRY</cp:lastModifiedBy>
  <dcterms:modified xsi:type="dcterms:W3CDTF">2024-12-17T01:54:54Z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2C40D2B9773B4CA3836EC24C861E8932_13</vt:lpwstr>
  </property>
</Properties>
</file>